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</w:p>
    <w:tbl>
      <w:tblPr>
        <w:tblStyle w:val="6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979"/>
        <w:gridCol w:w="831"/>
        <w:gridCol w:w="1114"/>
        <w:gridCol w:w="343"/>
        <w:gridCol w:w="862"/>
        <w:gridCol w:w="925"/>
        <w:gridCol w:w="102"/>
        <w:gridCol w:w="392"/>
        <w:gridCol w:w="304"/>
        <w:gridCol w:w="255"/>
        <w:gridCol w:w="581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  </w:t>
            </w:r>
            <w:r>
              <w:rPr>
                <w:rFonts w:ascii="宋体" w:hAnsi="宋体" w:cs="宋体"/>
                <w:kern w:val="0"/>
                <w:sz w:val="22"/>
              </w:rPr>
              <w:t>202</w:t>
            </w:r>
            <w:r>
              <w:rPr>
                <w:rFonts w:hint="eastAsia" w:ascii="宋体" w:hAnsi="宋体" w:cs="宋体"/>
                <w:kern w:val="0"/>
                <w:sz w:val="22"/>
              </w:rPr>
              <w:t>2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天坛医院学科发展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首都医科大学附属北京天坛医院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王昊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10-59978039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Hlk102033717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</w:t>
            </w:r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83.4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83.4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1" w:name="_Hlk102033728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69.70</w:t>
            </w:r>
            <w:bookmarkEnd w:id="1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2" w:name="_Hlk102033752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83.57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  <w:bookmarkEnd w:id="2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</w:t>
            </w:r>
            <w:bookmarkStart w:id="3" w:name="_Hlk102033702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财政拨款</w:t>
            </w:r>
            <w:bookmarkEnd w:id="3"/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83.4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83.4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69.70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83.57</w:t>
            </w:r>
            <w:bookmarkStart w:id="4" w:name="_GoBack"/>
            <w:bookmarkEnd w:id="4"/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医院通过承担 “扬帆”重点医学专业、临床技术创新项目，全面加强医院学科建设及临床新技术水平，以学科发展提升医院核心竞争力和医疗服务水平。 年度目标： 1)医疗：进行临床新技术的创新研发和攻关，为神经重症诊疗、神经感染实验诊断提出优化方案； 2)科研：完成项目方案制定和流行病学研究，发表期刊论文5篇，论文累计影响因子≥8分； 3)学术交流及培训：举办学术会议或培训2次。</w:t>
            </w:r>
          </w:p>
        </w:tc>
        <w:tc>
          <w:tcPr>
            <w:tcW w:w="32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1)医疗：为髓内肿瘤诊疗提出优化方案；为神经感染实验诊断提出优化方案并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控制神经感染的发生发展提供了一定的临床依据；2)科研：统计分析随访结果，发表SCI论文4篇，核心期刊论文6篇； 3)学术交流及培训：举办线上学术会议5次。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发表期刊论文数量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≥5篇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举办学术会议或培训数量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≥2次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发表期刊论文累计影响因子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≥8分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举办学术会议或培训，培训人员合格率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5%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5%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论文发表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≤12个月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≤12个月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完成方案制定和课题研究情况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6个月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个月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开展入组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下半年完成入组40例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≤12个月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≤12个月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下半年完成入组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例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扬帆二期202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年度成本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≤83.4万元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69.7万元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由于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疫情影响，部分经费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未能按计划支出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与对照组相比，治愈率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增长5%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5%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术后感染率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降低1%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1%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临床研究参与人员满意度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5%</w:t>
            </w:r>
          </w:p>
        </w:tc>
        <w:tc>
          <w:tcPr>
            <w:tcW w:w="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入组患者满意度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5%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51051617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C77"/>
    <w:rsid w:val="00011204"/>
    <w:rsid w:val="00026E58"/>
    <w:rsid w:val="000B4A2D"/>
    <w:rsid w:val="00113C7B"/>
    <w:rsid w:val="00197220"/>
    <w:rsid w:val="001A4621"/>
    <w:rsid w:val="001A480F"/>
    <w:rsid w:val="001A7F76"/>
    <w:rsid w:val="001B64C3"/>
    <w:rsid w:val="001E702E"/>
    <w:rsid w:val="00216830"/>
    <w:rsid w:val="0026278A"/>
    <w:rsid w:val="00271AA4"/>
    <w:rsid w:val="00282C77"/>
    <w:rsid w:val="002A13F2"/>
    <w:rsid w:val="002C4B2F"/>
    <w:rsid w:val="002D4C74"/>
    <w:rsid w:val="002E2F19"/>
    <w:rsid w:val="002E6272"/>
    <w:rsid w:val="00312D67"/>
    <w:rsid w:val="00453F58"/>
    <w:rsid w:val="004A2E6E"/>
    <w:rsid w:val="004D21E9"/>
    <w:rsid w:val="005001C4"/>
    <w:rsid w:val="005148F7"/>
    <w:rsid w:val="005D7028"/>
    <w:rsid w:val="005F0FD7"/>
    <w:rsid w:val="00606AC4"/>
    <w:rsid w:val="00643559"/>
    <w:rsid w:val="006510FB"/>
    <w:rsid w:val="00654BE1"/>
    <w:rsid w:val="00682BEB"/>
    <w:rsid w:val="006A202F"/>
    <w:rsid w:val="006D37B6"/>
    <w:rsid w:val="00720E36"/>
    <w:rsid w:val="00803D7C"/>
    <w:rsid w:val="008060A9"/>
    <w:rsid w:val="008F37D6"/>
    <w:rsid w:val="009225AE"/>
    <w:rsid w:val="00936F21"/>
    <w:rsid w:val="009A4BF8"/>
    <w:rsid w:val="009B2D84"/>
    <w:rsid w:val="00A256FD"/>
    <w:rsid w:val="00B11F93"/>
    <w:rsid w:val="00B20865"/>
    <w:rsid w:val="00B25B59"/>
    <w:rsid w:val="00B85FEC"/>
    <w:rsid w:val="00B924DE"/>
    <w:rsid w:val="00B96788"/>
    <w:rsid w:val="00BF6BC6"/>
    <w:rsid w:val="00C12AE6"/>
    <w:rsid w:val="00C24417"/>
    <w:rsid w:val="00C640B7"/>
    <w:rsid w:val="00C81BBB"/>
    <w:rsid w:val="00C84C2C"/>
    <w:rsid w:val="00CE3792"/>
    <w:rsid w:val="00D0453D"/>
    <w:rsid w:val="00D50873"/>
    <w:rsid w:val="00D70F2F"/>
    <w:rsid w:val="00D81DDE"/>
    <w:rsid w:val="00DD2AE0"/>
    <w:rsid w:val="00DF3D7E"/>
    <w:rsid w:val="00E200BB"/>
    <w:rsid w:val="00E26E8F"/>
    <w:rsid w:val="00EC73C9"/>
    <w:rsid w:val="00F21672"/>
    <w:rsid w:val="00F24BB7"/>
    <w:rsid w:val="00F252A0"/>
    <w:rsid w:val="00F94113"/>
    <w:rsid w:val="00FB3E93"/>
    <w:rsid w:val="00FE6035"/>
    <w:rsid w:val="05D34DB8"/>
    <w:rsid w:val="09FF6357"/>
    <w:rsid w:val="0BAA7103"/>
    <w:rsid w:val="0C1E1C31"/>
    <w:rsid w:val="0DFB7854"/>
    <w:rsid w:val="111F7B51"/>
    <w:rsid w:val="183847DB"/>
    <w:rsid w:val="1A49271A"/>
    <w:rsid w:val="1CB11772"/>
    <w:rsid w:val="223A2EAC"/>
    <w:rsid w:val="275D6A88"/>
    <w:rsid w:val="2B2A33D8"/>
    <w:rsid w:val="2B6E67CA"/>
    <w:rsid w:val="2D4412A0"/>
    <w:rsid w:val="366C4ABD"/>
    <w:rsid w:val="39232E95"/>
    <w:rsid w:val="3C155233"/>
    <w:rsid w:val="3D71354E"/>
    <w:rsid w:val="42DA0466"/>
    <w:rsid w:val="446568C7"/>
    <w:rsid w:val="4478011E"/>
    <w:rsid w:val="447B1A54"/>
    <w:rsid w:val="449518EC"/>
    <w:rsid w:val="453C75DC"/>
    <w:rsid w:val="4C23767D"/>
    <w:rsid w:val="534960B3"/>
    <w:rsid w:val="5D603E18"/>
    <w:rsid w:val="607867BF"/>
    <w:rsid w:val="60AC5064"/>
    <w:rsid w:val="64CF47E7"/>
    <w:rsid w:val="6E69122A"/>
    <w:rsid w:val="7642167B"/>
    <w:rsid w:val="77566537"/>
    <w:rsid w:val="7ABD067B"/>
    <w:rsid w:val="7AF82883"/>
    <w:rsid w:val="7DDE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2 字符"/>
    <w:basedOn w:val="5"/>
    <w:link w:val="2"/>
    <w:qFormat/>
    <w:uiPriority w:val="0"/>
    <w:rPr>
      <w:rFonts w:ascii="Arial" w:hAnsi="Arial" w:eastAsia="黑体" w:cs="Times New Roman"/>
      <w:b/>
      <w:sz w:val="32"/>
      <w:szCs w:val="24"/>
    </w:rPr>
  </w:style>
  <w:style w:type="character" w:customStyle="1" w:styleId="8">
    <w:name w:val="页眉 字符"/>
    <w:basedOn w:val="5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165</Words>
  <Characters>944</Characters>
  <Lines>7</Lines>
  <Paragraphs>2</Paragraphs>
  <TotalTime>0</TotalTime>
  <ScaleCrop>false</ScaleCrop>
  <LinksUpToDate>false</LinksUpToDate>
  <CharactersWithSpaces>1107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2022-04-27T01:04:00Z</dcterms:created>
  <dc:creator>Administrator</dc:creator>
  <cp:lastModifiedBy>yangsu</cp:lastModifiedBy>
  <dcterms:modified xsi:type="dcterms:W3CDTF">2023-05-10T08:57:29Z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