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 w:hAnsi="仿宋" w:eastAsia="仿宋" w:cs="仿宋"/>
          <w:color w:val="000000"/>
          <w:kern w:val="0"/>
          <w:sz w:val="30"/>
          <w:szCs w:val="30"/>
        </w:rPr>
      </w:pPr>
      <w:r>
        <w:rPr>
          <w:rFonts w:hint="eastAsia" w:ascii="仿宋" w:hAnsi="仿宋" w:eastAsia="仿宋" w:cs="仿宋"/>
          <w:color w:val="000000"/>
          <w:kern w:val="0"/>
          <w:sz w:val="30"/>
          <w:szCs w:val="30"/>
        </w:rPr>
        <w:t>附件：</w:t>
      </w:r>
    </w:p>
    <w:tbl>
      <w:tblPr>
        <w:tblStyle w:val="7"/>
        <w:tblW w:w="9682" w:type="dxa"/>
        <w:jc w:val="center"/>
        <w:tblInd w:w="0" w:type="dxa"/>
        <w:tblLayout w:type="fixed"/>
        <w:tblCellMar>
          <w:top w:w="0" w:type="dxa"/>
          <w:left w:w="108" w:type="dxa"/>
          <w:bottom w:w="0" w:type="dxa"/>
          <w:right w:w="108" w:type="dxa"/>
        </w:tblCellMar>
      </w:tblPr>
      <w:tblGrid>
        <w:gridCol w:w="578"/>
        <w:gridCol w:w="963"/>
        <w:gridCol w:w="1092"/>
        <w:gridCol w:w="718"/>
        <w:gridCol w:w="1119"/>
        <w:gridCol w:w="1163"/>
        <w:gridCol w:w="1292"/>
        <w:gridCol w:w="468"/>
        <w:gridCol w:w="99"/>
        <w:gridCol w:w="567"/>
        <w:gridCol w:w="170"/>
        <w:gridCol w:w="1453"/>
      </w:tblGrid>
      <w:tr>
        <w:tblPrEx>
          <w:tblLayout w:type="fixed"/>
          <w:tblCellMar>
            <w:top w:w="0" w:type="dxa"/>
            <w:left w:w="108" w:type="dxa"/>
            <w:bottom w:w="0" w:type="dxa"/>
            <w:right w:w="108" w:type="dxa"/>
          </w:tblCellMar>
        </w:tblPrEx>
        <w:trPr>
          <w:trHeight w:val="440" w:hRule="exact"/>
          <w:jc w:val="center"/>
        </w:trPr>
        <w:tc>
          <w:tcPr>
            <w:tcW w:w="9682" w:type="dxa"/>
            <w:gridSpan w:val="12"/>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9682" w:type="dxa"/>
            <w:gridSpan w:val="12"/>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（2022年度）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8141"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天坛医院核酸基地医院能力提升</w:t>
            </w:r>
          </w:p>
        </w:tc>
      </w:tr>
      <w:tr>
        <w:tblPrEx>
          <w:tblLayout w:type="fixed"/>
          <w:tblCellMar>
            <w:top w:w="0" w:type="dxa"/>
            <w:left w:w="108" w:type="dxa"/>
            <w:bottom w:w="0" w:type="dxa"/>
            <w:right w:w="108" w:type="dxa"/>
          </w:tblCellMar>
        </w:tblPrEx>
        <w:trPr>
          <w:trHeight w:val="513"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9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75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首都医科大学附属北京天坛医院</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9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王晓岩</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75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59978100</w:t>
            </w:r>
          </w:p>
        </w:tc>
      </w:tr>
      <w:tr>
        <w:tblPrEx>
          <w:tblLayout w:type="fixed"/>
          <w:tblCellMar>
            <w:top w:w="0" w:type="dxa"/>
            <w:left w:w="108" w:type="dxa"/>
            <w:bottom w:w="0" w:type="dxa"/>
            <w:right w:w="108" w:type="dxa"/>
          </w:tblCellMar>
        </w:tblPrEx>
        <w:trPr>
          <w:trHeight w:val="266"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4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45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118.342043</w:t>
            </w:r>
          </w:p>
        </w:tc>
        <w:tc>
          <w:tcPr>
            <w:tcW w:w="11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118.342043</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118.342043</w:t>
            </w:r>
          </w:p>
        </w:tc>
        <w:tc>
          <w:tcPr>
            <w:tcW w:w="4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45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118.342043</w:t>
            </w:r>
          </w:p>
        </w:tc>
        <w:tc>
          <w:tcPr>
            <w:tcW w:w="11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118.342043</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118.342043</w:t>
            </w:r>
          </w:p>
        </w:tc>
        <w:tc>
          <w:tcPr>
            <w:tcW w:w="4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45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5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5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5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404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2693"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5"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为贯彻落实北京新型冠状病毒肺炎疫情防控工作领导小组检疫检测组《关于进一步提升核酸检测能力的通知》（京防组检发〔2022〕2号）文件精神，根据市领导的批示及《市检疫检测工作组关于市级核酸检测能力建设经费保障的请示》，需达到3万管/日的检测能力。为确保能力提升工作需新购置各类医疗设备、移动方舱和进行必要的场地改造，按照疫情防控采购绿色通道政策执行采购工作。</w:t>
            </w:r>
          </w:p>
        </w:tc>
        <w:tc>
          <w:tcPr>
            <w:tcW w:w="4049" w:type="dxa"/>
            <w:gridSpan w:val="6"/>
            <w:tcBorders>
              <w:top w:val="single" w:color="auto" w:sz="4" w:space="0"/>
              <w:left w:val="nil"/>
              <w:bottom w:val="single" w:color="auto" w:sz="4" w:space="0"/>
              <w:right w:val="single" w:color="auto" w:sz="4" w:space="0"/>
            </w:tcBorders>
            <w:vAlign w:val="center"/>
          </w:tcPr>
          <w:p>
            <w:pPr>
              <w:pStyle w:val="13"/>
              <w:autoSpaceDE w:val="0"/>
              <w:autoSpaceDN w:val="0"/>
              <w:spacing w:line="200" w:lineRule="exact"/>
              <w:ind w:firstLine="323" w:firstLineChars="202"/>
              <w:contextualSpacing/>
              <w:jc w:val="left"/>
              <w:rPr>
                <w:rFonts w:ascii="宋体" w:hAnsi="宋体" w:cs="宋体"/>
                <w:b w:val="0"/>
                <w:bCs w:val="0"/>
                <w:color w:val="auto"/>
                <w:sz w:val="16"/>
                <w:szCs w:val="18"/>
              </w:rPr>
            </w:pPr>
            <w:r>
              <w:rPr>
                <w:rFonts w:hint="eastAsia" w:ascii="宋体" w:hAnsi="宋体" w:cs="宋体"/>
                <w:b w:val="0"/>
                <w:bCs w:val="0"/>
                <w:color w:val="auto"/>
                <w:sz w:val="16"/>
                <w:szCs w:val="18"/>
              </w:rPr>
              <w:t>按照北京市医管中心核酸检测能力提升至日检3万管的目标，在院领导的统筹安排下，2022年5月30日完成了核酸检测方舱场地改造、医疗设备购置、设备安装调试等软硬件建设工作， 5月31日通过了市卫健委的现场验收。</w:t>
            </w:r>
            <w:r>
              <w:rPr>
                <w:rFonts w:ascii="宋体" w:hAnsi="宋体" w:cs="宋体"/>
                <w:b w:val="0"/>
                <w:bCs w:val="0"/>
                <w:color w:val="auto"/>
                <w:sz w:val="16"/>
                <w:szCs w:val="18"/>
              </w:rPr>
              <w:t>6</w:t>
            </w:r>
            <w:r>
              <w:rPr>
                <w:rFonts w:hint="eastAsia" w:ascii="宋体" w:hAnsi="宋体" w:cs="宋体"/>
                <w:b w:val="0"/>
                <w:bCs w:val="0"/>
                <w:color w:val="auto"/>
                <w:sz w:val="16"/>
                <w:szCs w:val="18"/>
              </w:rPr>
              <w:t>月</w:t>
            </w:r>
            <w:r>
              <w:rPr>
                <w:rFonts w:ascii="宋体" w:hAnsi="宋体" w:cs="宋体"/>
                <w:b w:val="0"/>
                <w:bCs w:val="0"/>
                <w:color w:val="auto"/>
                <w:sz w:val="16"/>
                <w:szCs w:val="18"/>
              </w:rPr>
              <w:t>2</w:t>
            </w:r>
            <w:r>
              <w:rPr>
                <w:rFonts w:hint="eastAsia" w:ascii="宋体" w:hAnsi="宋体" w:cs="宋体"/>
                <w:b w:val="0"/>
                <w:bCs w:val="0"/>
                <w:color w:val="auto"/>
                <w:sz w:val="16"/>
                <w:szCs w:val="18"/>
              </w:rPr>
              <w:t>日完成核酸检测方舱实验室的生物安全备案工作，我院核酸检测方舱具备二级</w:t>
            </w:r>
            <w:r>
              <w:rPr>
                <w:rFonts w:ascii="宋体" w:hAnsi="宋体" w:cs="宋体"/>
                <w:b w:val="0"/>
                <w:bCs w:val="0"/>
                <w:color w:val="auto"/>
                <w:sz w:val="16"/>
                <w:szCs w:val="18"/>
              </w:rPr>
              <w:t>PCR</w:t>
            </w:r>
            <w:r>
              <w:rPr>
                <w:rFonts w:hint="eastAsia" w:ascii="宋体" w:hAnsi="宋体" w:cs="宋体"/>
                <w:b w:val="0"/>
                <w:bCs w:val="0"/>
                <w:color w:val="auto"/>
                <w:sz w:val="16"/>
                <w:szCs w:val="18"/>
              </w:rPr>
              <w:t>实验室的资质。制定大规模新冠核酸检测岗位职责及分工预案6月3日对全院PCR有证人员开展了核酸检测方舱新设备使用的线上培训及现场实操培训及考核。我院核酸检测能力提升至3万管/日。医院组建院核酸检测队和后备队持续支援保障我院核酸检测工作。我院核酸检测基地按照防控要求，如期完成政府及社会、医院的大规模核酸检测任务</w:t>
            </w:r>
            <w:r>
              <w:rPr>
                <w:rFonts w:hint="eastAsia" w:ascii="宋体" w:hAnsi="宋体" w:cs="宋体"/>
                <w:b w:val="0"/>
                <w:bCs w:val="0"/>
                <w:color w:val="auto"/>
                <w:sz w:val="16"/>
                <w:szCs w:val="18"/>
                <w:lang w:eastAsia="zh-CN"/>
              </w:rPr>
              <w:t>，</w:t>
            </w:r>
            <w:bookmarkStart w:id="0" w:name="_GoBack"/>
            <w:bookmarkEnd w:id="0"/>
            <w:r>
              <w:rPr>
                <w:rFonts w:hint="eastAsia" w:ascii="宋体" w:hAnsi="宋体" w:cs="宋体"/>
                <w:b w:val="0"/>
                <w:bCs w:val="0"/>
                <w:color w:val="auto"/>
                <w:sz w:val="16"/>
                <w:szCs w:val="18"/>
              </w:rPr>
              <w:t>取得了良好的社会效益和满意度。</w:t>
            </w:r>
          </w:p>
          <w:p>
            <w:pPr>
              <w:widowControl/>
              <w:spacing w:line="240" w:lineRule="exact"/>
              <w:rPr>
                <w:rFonts w:ascii="宋体" w:hAnsi="宋体" w:cs="宋体"/>
                <w:kern w:val="0"/>
                <w:sz w:val="18"/>
                <w:szCs w:val="18"/>
                <w:highlight w:val="yellow"/>
              </w:rPr>
            </w:pP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1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6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111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3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质量结果符合疫情防控相关要求</w:t>
            </w:r>
          </w:p>
        </w:tc>
        <w:tc>
          <w:tcPr>
            <w:tcW w:w="11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定性</w:t>
            </w:r>
          </w:p>
        </w:tc>
        <w:tc>
          <w:tcPr>
            <w:tcW w:w="1292" w:type="dxa"/>
            <w:tcBorders>
              <w:top w:val="nil"/>
              <w:left w:val="nil"/>
              <w:bottom w:val="single" w:color="auto" w:sz="4" w:space="0"/>
              <w:right w:val="single" w:color="auto" w:sz="4" w:space="0"/>
            </w:tcBorders>
            <w:vAlign w:val="center"/>
          </w:tcPr>
          <w:p>
            <w:pPr>
              <w:widowControl/>
              <w:spacing w:line="200" w:lineRule="exact"/>
              <w:jc w:val="left"/>
              <w:rPr>
                <w:rFonts w:ascii="宋体" w:hAnsi="宋体" w:cs="宋体"/>
                <w:color w:val="000000"/>
                <w:kern w:val="0"/>
                <w:sz w:val="18"/>
                <w:szCs w:val="18"/>
              </w:rPr>
            </w:pPr>
            <w:r>
              <w:rPr>
                <w:rFonts w:hint="eastAsia" w:ascii="宋体" w:hAnsi="宋体" w:cs="宋体"/>
                <w:color w:val="000000"/>
                <w:kern w:val="0"/>
                <w:sz w:val="18"/>
                <w:szCs w:val="18"/>
              </w:rPr>
              <w:t>符合疫情防控相关要求</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并</w:t>
            </w:r>
            <w:r>
              <w:rPr>
                <w:rFonts w:hint="eastAsia" w:ascii="宋体" w:hAnsi="宋体" w:cs="宋体"/>
                <w:color w:val="000000"/>
                <w:kern w:val="0"/>
                <w:sz w:val="18"/>
                <w:szCs w:val="18"/>
              </w:rPr>
              <w:t>通过市卫健委的现场验收</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6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83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市属医院国家公共实验室和市级核酸检测基地检测能力</w:t>
            </w:r>
          </w:p>
        </w:tc>
        <w:tc>
          <w:tcPr>
            <w:tcW w:w="11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≥3万份</w:t>
            </w:r>
          </w:p>
        </w:tc>
        <w:tc>
          <w:tcPr>
            <w:tcW w:w="129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3万管/日</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6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3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确保如期实现能力提升</w:t>
            </w:r>
          </w:p>
        </w:tc>
        <w:tc>
          <w:tcPr>
            <w:tcW w:w="11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5"/>
                <w:szCs w:val="15"/>
              </w:rPr>
            </w:pPr>
            <w:r>
              <w:rPr>
                <w:rFonts w:hint="eastAsia" w:ascii="宋体" w:hAnsi="宋体" w:cs="宋体"/>
                <w:color w:val="auto"/>
                <w:kern w:val="0"/>
                <w:sz w:val="18"/>
                <w:szCs w:val="18"/>
              </w:rPr>
              <w:t>≥12月</w:t>
            </w:r>
          </w:p>
        </w:tc>
        <w:tc>
          <w:tcPr>
            <w:tcW w:w="129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8"/>
                <w:szCs w:val="18"/>
              </w:rPr>
              <w:t>≥12月</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6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7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3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11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不超过118.342043万元</w:t>
            </w:r>
          </w:p>
        </w:tc>
        <w:tc>
          <w:tcPr>
            <w:tcW w:w="129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118.342043万元</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6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13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3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满足我市疫情防控核酸检测要求</w:t>
            </w:r>
          </w:p>
        </w:tc>
        <w:tc>
          <w:tcPr>
            <w:tcW w:w="11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定性</w:t>
            </w:r>
          </w:p>
        </w:tc>
        <w:tc>
          <w:tcPr>
            <w:tcW w:w="129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满足我市疫情防控核酸检测要求</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16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3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优</w:t>
            </w:r>
          </w:p>
        </w:tc>
        <w:tc>
          <w:tcPr>
            <w:tcW w:w="11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定性</w:t>
            </w:r>
          </w:p>
        </w:tc>
        <w:tc>
          <w:tcPr>
            <w:tcW w:w="129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56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6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1" w:hRule="exact"/>
          <w:jc w:val="center"/>
        </w:trPr>
        <w:tc>
          <w:tcPr>
            <w:tcW w:w="6925"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6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82C77"/>
    <w:rsid w:val="000D3C03"/>
    <w:rsid w:val="001A4621"/>
    <w:rsid w:val="00282C77"/>
    <w:rsid w:val="0043371C"/>
    <w:rsid w:val="005852B0"/>
    <w:rsid w:val="00745831"/>
    <w:rsid w:val="00813C0B"/>
    <w:rsid w:val="00C14ECB"/>
    <w:rsid w:val="00C24417"/>
    <w:rsid w:val="00CB6688"/>
    <w:rsid w:val="034721F7"/>
    <w:rsid w:val="06D05553"/>
    <w:rsid w:val="0786499B"/>
    <w:rsid w:val="0BFC244E"/>
    <w:rsid w:val="11495149"/>
    <w:rsid w:val="11CC5B38"/>
    <w:rsid w:val="186F5CCC"/>
    <w:rsid w:val="1BD16CED"/>
    <w:rsid w:val="1C4541BB"/>
    <w:rsid w:val="21486401"/>
    <w:rsid w:val="273F5A5E"/>
    <w:rsid w:val="27DB0A96"/>
    <w:rsid w:val="27E21A31"/>
    <w:rsid w:val="29E27825"/>
    <w:rsid w:val="2F0A1E6D"/>
    <w:rsid w:val="2F8F1617"/>
    <w:rsid w:val="314F6EB3"/>
    <w:rsid w:val="34416D30"/>
    <w:rsid w:val="34495A6E"/>
    <w:rsid w:val="3A6D4352"/>
    <w:rsid w:val="3B0C3E77"/>
    <w:rsid w:val="3B47139B"/>
    <w:rsid w:val="3D301DEB"/>
    <w:rsid w:val="44CC6D69"/>
    <w:rsid w:val="4635057F"/>
    <w:rsid w:val="46372257"/>
    <w:rsid w:val="4BE323D4"/>
    <w:rsid w:val="503E6296"/>
    <w:rsid w:val="55C40E0B"/>
    <w:rsid w:val="57B74A41"/>
    <w:rsid w:val="5CC1329E"/>
    <w:rsid w:val="5DAB1234"/>
    <w:rsid w:val="5FBA3843"/>
    <w:rsid w:val="66231C62"/>
    <w:rsid w:val="72483D4D"/>
    <w:rsid w:val="73AA6D95"/>
    <w:rsid w:val="77807DEE"/>
    <w:rsid w:val="77BC113C"/>
    <w:rsid w:val="793B3CA8"/>
    <w:rsid w:val="7BFB5707"/>
    <w:rsid w:val="7C584A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qFormat/>
    <w:uiPriority w:val="0"/>
    <w:pPr>
      <w:ind w:firstLine="200" w:firstLineChars="200"/>
      <w:jc w:val="left"/>
      <w:outlineLvl w:val="2"/>
    </w:pPr>
    <w:rPr>
      <w:rFonts w:ascii="Cambria" w:hAnsi="Cambria" w:eastAsia="黑体"/>
      <w:bCs/>
      <w:kern w:val="28"/>
      <w:sz w:val="32"/>
      <w:szCs w:val="32"/>
    </w:rPr>
  </w:style>
  <w:style w:type="character" w:customStyle="1" w:styleId="8">
    <w:name w:val="标题 2 Char"/>
    <w:basedOn w:val="6"/>
    <w:link w:val="2"/>
    <w:qFormat/>
    <w:uiPriority w:val="0"/>
    <w:rPr>
      <w:rFonts w:ascii="Arial" w:hAnsi="Arial" w:eastAsia="黑体" w:cs="Times New Roman"/>
      <w:b/>
      <w:sz w:val="32"/>
      <w:szCs w:val="24"/>
    </w:rPr>
  </w:style>
  <w:style w:type="character" w:customStyle="1" w:styleId="9">
    <w:name w:val="NormalCharacter"/>
    <w:semiHidden/>
    <w:qFormat/>
    <w:uiPriority w:val="0"/>
    <w:rPr>
      <w:rFonts w:eastAsia="宋体"/>
      <w:kern w:val="2"/>
      <w:sz w:val="21"/>
      <w:lang w:val="en-US" w:eastAsia="zh-CN"/>
    </w:rPr>
  </w:style>
  <w:style w:type="paragraph" w:customStyle="1" w:styleId="10">
    <w:name w:val="BodyText"/>
    <w:basedOn w:val="1"/>
    <w:qFormat/>
    <w:uiPriority w:val="0"/>
    <w:pPr>
      <w:spacing w:line="300" w:lineRule="atLeast"/>
      <w:jc w:val="center"/>
      <w:textAlignment w:val="baseline"/>
    </w:pPr>
    <w:rPr>
      <w:rFonts w:ascii="Calibri" w:hAnsi="Calibri"/>
      <w:color w:val="000000"/>
      <w:sz w:val="44"/>
    </w:rPr>
  </w:style>
  <w:style w:type="character" w:customStyle="1" w:styleId="11">
    <w:name w:val="页眉 Char"/>
    <w:basedOn w:val="6"/>
    <w:link w:val="4"/>
    <w:semiHidden/>
    <w:qFormat/>
    <w:uiPriority w:val="99"/>
    <w:rPr>
      <w:kern w:val="2"/>
      <w:sz w:val="18"/>
      <w:szCs w:val="18"/>
    </w:rPr>
  </w:style>
  <w:style w:type="character" w:customStyle="1" w:styleId="12">
    <w:name w:val="页脚 Char"/>
    <w:basedOn w:val="6"/>
    <w:link w:val="3"/>
    <w:semiHidden/>
    <w:uiPriority w:val="99"/>
    <w:rPr>
      <w:kern w:val="2"/>
      <w:sz w:val="18"/>
      <w:szCs w:val="18"/>
    </w:rPr>
  </w:style>
  <w:style w:type="paragraph" w:styleId="13">
    <w:name w:val="List Paragraph"/>
    <w:basedOn w:val="1"/>
    <w:qFormat/>
    <w:uiPriority w:val="34"/>
    <w:pPr>
      <w:ind w:firstLine="420" w:firstLineChars="200"/>
    </w:pPr>
    <w:rPr>
      <w:rFonts w:ascii="Arial" w:hAnsi="Arial" w:cs="Arial"/>
      <w:b/>
      <w:bCs/>
      <w:color w:val="7030A0"/>
      <w:kern w:val="0"/>
      <w:sz w:val="24"/>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178</Words>
  <Characters>1018</Characters>
  <Lines>8</Lines>
  <Paragraphs>2</Paragraphs>
  <TotalTime>0</TotalTime>
  <ScaleCrop>false</ScaleCrop>
  <LinksUpToDate>false</LinksUpToDate>
  <CharactersWithSpaces>1194</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2022-04-08T01:23:00Z</dcterms:created>
  <dc:creator>Administrator</dc:creator>
  <cp:lastModifiedBy>yangsu</cp:lastModifiedBy>
  <dcterms:modified xsi:type="dcterms:W3CDTF">2023-06-09T03:27:37Z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