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827"/>
        <w:gridCol w:w="49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预决算及资产管理工作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北京市医院管理中心（本级））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侯常敏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248.317000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160.317467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72.889467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45.46%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248.317000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160.317467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72.889467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对医院所申报的高额自有资金的支出情况进行审核：出具审核意见；课题（规划）报告完成情况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全年资产处置（含报废、调拨、捐赠等形式）数量：全年通过论证处置医疗设备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11488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竣工决算开展项目数量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Style w:val="7"/>
                <w:lang w:val="en-US" w:eastAsia="zh-CN" w:bidi="ar"/>
              </w:rPr>
              <w:t>对市属医院预决算情况开展评审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提高所委托事务所服务质量；通过财经专家组成的督导组对市属医院的会计工作进行指导、交流；通过市属医院加强内部审计操作系统建设及督导检查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2022年完成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项目总成本控制在预算范围内，规范市属医院各类经济行为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Style w:val="7"/>
                <w:lang w:val="en-US" w:eastAsia="zh-CN" w:bidi="ar"/>
              </w:rPr>
              <w:t>服务对象满意度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93.5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00C7FCF"/>
    <w:rsid w:val="1C46568C"/>
    <w:rsid w:val="28FF42C9"/>
    <w:rsid w:val="5D327145"/>
    <w:rsid w:val="63872CC8"/>
    <w:rsid w:val="6E7838C8"/>
    <w:rsid w:val="770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2024-05-18T13:45:43Z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9F6197D8CDA74028856DF2E8417CDDF4_13</vt:lpwstr>
  </property>
</Properties>
</file>