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10200" w:type="dxa"/>
        <w:jc w:val="center"/>
        <w:tblLayout w:type="fixed"/>
        <w:tblCellMar>
          <w:top w:w="0" w:type="dxa"/>
          <w:left w:w="108" w:type="dxa"/>
          <w:bottom w:w="0" w:type="dxa"/>
          <w:right w:w="108" w:type="dxa"/>
        </w:tblCellMar>
      </w:tblPr>
      <w:tblGrid>
        <w:gridCol w:w="615"/>
        <w:gridCol w:w="713"/>
        <w:gridCol w:w="628"/>
        <w:gridCol w:w="1902"/>
        <w:gridCol w:w="873"/>
        <w:gridCol w:w="406"/>
        <w:gridCol w:w="995"/>
        <w:gridCol w:w="1505"/>
        <w:gridCol w:w="253"/>
        <w:gridCol w:w="319"/>
        <w:gridCol w:w="498"/>
        <w:gridCol w:w="777"/>
        <w:gridCol w:w="716"/>
      </w:tblGrid>
      <w:tr>
        <w:tblPrEx>
          <w:tblCellMar>
            <w:top w:w="0" w:type="dxa"/>
            <w:left w:w="108" w:type="dxa"/>
            <w:bottom w:w="0" w:type="dxa"/>
            <w:right w:w="108" w:type="dxa"/>
          </w:tblCellMar>
        </w:tblPrEx>
        <w:trPr>
          <w:trHeight w:val="283" w:hRule="exact"/>
          <w:tblHeader/>
          <w:jc w:val="center"/>
        </w:trPr>
        <w:tc>
          <w:tcPr>
            <w:tcW w:w="10200" w:type="dxa"/>
            <w:gridSpan w:val="13"/>
            <w:tcBorders>
              <w:top w:val="nil"/>
              <w:left w:val="nil"/>
              <w:bottom w:val="nil"/>
              <w:right w:val="nil"/>
            </w:tcBorders>
            <w:noWrap/>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312" w:hRule="atLeast"/>
          <w:tblHeader/>
          <w:jc w:val="center"/>
        </w:trPr>
        <w:tc>
          <w:tcPr>
            <w:tcW w:w="10200" w:type="dxa"/>
            <w:gridSpan w:val="13"/>
            <w:tcBorders>
              <w:top w:val="nil"/>
              <w:left w:val="nil"/>
              <w:bottom w:val="nil"/>
              <w:right w:val="nil"/>
            </w:tcBorders>
            <w:noWrap/>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67" w:hRule="exact"/>
          <w:tblHeader/>
          <w:jc w:val="center"/>
        </w:trPr>
        <w:tc>
          <w:tcPr>
            <w:tcW w:w="132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8872" w:type="dxa"/>
            <w:gridSpan w:val="11"/>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友谊医院医学人才培养</w:t>
            </w:r>
          </w:p>
        </w:tc>
      </w:tr>
      <w:tr>
        <w:tblPrEx>
          <w:tblCellMar>
            <w:top w:w="0" w:type="dxa"/>
            <w:left w:w="108" w:type="dxa"/>
            <w:bottom w:w="0" w:type="dxa"/>
            <w:right w:w="108" w:type="dxa"/>
          </w:tblCellMar>
        </w:tblPrEx>
        <w:trPr>
          <w:trHeight w:val="267" w:hRule="exact"/>
          <w:tblHeader/>
          <w:jc w:val="center"/>
        </w:trPr>
        <w:tc>
          <w:tcPr>
            <w:tcW w:w="132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804"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人力资源处</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310"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267" w:hRule="exact"/>
          <w:tblHeader/>
          <w:jc w:val="center"/>
        </w:trPr>
        <w:tc>
          <w:tcPr>
            <w:tcW w:w="132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804"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鹿佳</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310" w:type="dxa"/>
            <w:gridSpan w:val="4"/>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63139419</w:t>
            </w:r>
          </w:p>
        </w:tc>
      </w:tr>
      <w:tr>
        <w:tblPrEx>
          <w:tblCellMar>
            <w:top w:w="0" w:type="dxa"/>
            <w:left w:w="108" w:type="dxa"/>
            <w:bottom w:w="0" w:type="dxa"/>
            <w:right w:w="108" w:type="dxa"/>
          </w:tblCellMar>
        </w:tblPrEx>
        <w:trPr>
          <w:trHeight w:val="590" w:hRule="exact"/>
          <w:tblHeader/>
          <w:jc w:val="center"/>
        </w:trPr>
        <w:tc>
          <w:tcPr>
            <w:tcW w:w="1328"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27" w:hRule="exact"/>
          <w:tblHeader/>
          <w:jc w:val="center"/>
        </w:trPr>
        <w:tc>
          <w:tcPr>
            <w:tcW w:w="132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564.39</w:t>
            </w: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564.39</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564.39</w:t>
            </w: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100%</w:t>
            </w: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67" w:hRule="exact"/>
          <w:tblHeader/>
          <w:jc w:val="center"/>
        </w:trPr>
        <w:tc>
          <w:tcPr>
            <w:tcW w:w="132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564.39</w:t>
            </w: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564.39</w:t>
            </w: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67" w:hRule="exact"/>
          <w:tblHeader/>
          <w:jc w:val="center"/>
        </w:trPr>
        <w:tc>
          <w:tcPr>
            <w:tcW w:w="132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67" w:hRule="exact"/>
          <w:tblHeader/>
          <w:jc w:val="center"/>
        </w:trPr>
        <w:tc>
          <w:tcPr>
            <w:tcW w:w="132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530"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279"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995"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1758"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81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7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6" w:type="dxa"/>
            <w:tcBorders>
              <w:top w:val="nil"/>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67" w:hRule="exact"/>
          <w:tblHeader/>
          <w:jc w:val="center"/>
        </w:trPr>
        <w:tc>
          <w:tcPr>
            <w:tcW w:w="61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517"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4068"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0021" w:hRule="exact"/>
          <w:tblHeader/>
          <w:jc w:val="center"/>
        </w:trPr>
        <w:tc>
          <w:tcPr>
            <w:tcW w:w="61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5517"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宋体" w:hAnsi="宋体" w:cs="宋体"/>
                <w:kern w:val="0"/>
                <w:sz w:val="18"/>
                <w:szCs w:val="18"/>
              </w:rPr>
            </w:pPr>
            <w:r>
              <w:rPr>
                <w:rFonts w:hint="eastAsia" w:ascii="宋体" w:hAnsi="宋体" w:cs="宋体"/>
                <w:kern w:val="0"/>
                <w:sz w:val="15"/>
                <w:szCs w:val="15"/>
              </w:rPr>
              <w:t>贾继东：优化临床研究管理模式，提升临床研究质量；推动人才结构优化调整；优化新药及临床研究平台，强化并提升肝病创新研发能力；探索新药临床试验电子化、数字化进程，建立消化系统疾病公共数据元、电子数据平台。曹春梅：完成2022年度实验计划，发表高质量SCI论文2篇，培养4-5名研究生。杜政德：通过完成去乙酰化酶SIRT1调控年龄相关性耳蜗带状突触损伤的通路研究，揭示SIRT1调控年龄相关性耳蜗带状突触损伤的通路，为老年性聋的防治提供靶点。张栋：继续完善学科发展规划及免疫学科研平台建设，主要包括科研和技术人员的免疫专业技能的培养，提升团队的整体研究水平以及平台的科研服务和支持水平。开展银屑病、脂肪性肝炎及卒中等模型的免疫学发病机制及免疫治疗研究。团队成员培养，推动团队成员申报自然基金及各类人才资助项目。深入双阴性T细胞的免疫调节机制研究，发表高水平研究论文。黄榕翀：延续前期课题研究，探讨糖基化修饰调控免疫细胞的作用和机制研究，并进一步在人群中中纳入合适患者开张临川相关研究，依托首都医科大学附属北京友谊医院临床数据库，建立相关数据库。鄢丹：以国际/国家学术会议、国际优秀团队交流互访、国际科技合基地合作、国家重大/重点项目合作、全国多中心临床医学联盟（视疫情择机实施）；院内获得性感染常用药物相互作用及代谢敏感型药物动态监测关键技术课题方案设计、数据综合分析、论文指导写作与修改、专利指导申报、会议组织举办、操作规范SOP 审定。田丹：深入探讨DNT细胞在治疗小鼠缺血性脑卒中的调节机制，通过完成双阴性T细胞通过抑制外周和局部炎症反应治疗小鼠缺血性脑卒中的机制研究，为开发新型脑卒中细胞治疗方法奠定基础。杨大为：将研究成果应用于临床，为肝细胞癌疾病的诊疗奠定研究基础并带来新的契机，提高肝细胞癌疾病的治愈率，缩短肝细胞癌病人住院时间，减少肝细胞癌疾病患者的治疗费用，提高肝细胞癌疾病治疗的国内外影响力。公绪合：完成项目基础部分研究，全面评估SDF-1/CXCR4在曲美他嗪预处理促进干细胞归巢中的作用和机制，为临床诊疗实践奠定基础；发表中英文期刊，人才培养方面，晋升主治医师，力争获批国家自然科学基金，首都发展基金。桂沛君：形成开展早期院内心脏康复和家庭心脏康复有效性的研究成果，并将该成果应用于临床，为急性冠脉综合征患者早期心脏康复模式选择提供循证学依据，降低急性冠脉综合征患者的发病率和减少急性冠脉综合征的再住院率，减少急性冠脉综合征患者的治疗费用，改善其生活质量及预后，提高心脏康复的国内外影响力。杨博宇：通过完成肠道微生物及肿瘤原位微生物在肾细胞癌发生发展中的功能研究，明确肾癌患者和健康人群肠道、肿瘤及肿瘤邻近组织微生物群特征，包括α/β-多样性和丰度存在差异的菌属，阐明肾癌患者肠道、肿瘤及肿瘤邻近组织微生物影响肾癌的发生和进展是否通过炎症、免疫和代谢途径，探索微生物疗法粪菌移植（FMT）对治疗肾癌的作用及机制，并将研究成果应用于临床，为肾癌的诊疗奠定研究基础并带来新的契机，提高肾癌的治愈率，缩短肾癌病人住院时间，减少肾癌患者的治疗费用，提高肾癌治疗的国内外影响力。</w:t>
            </w:r>
          </w:p>
        </w:tc>
        <w:tc>
          <w:tcPr>
            <w:tcW w:w="4068"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eastAsia="宋体" w:cs="宋体"/>
                <w:kern w:val="0"/>
                <w:sz w:val="18"/>
                <w:szCs w:val="18"/>
                <w:lang w:val="en-US" w:eastAsia="zh-CN"/>
              </w:rPr>
              <w:t>基本完成</w:t>
            </w:r>
          </w:p>
        </w:tc>
      </w:tr>
      <w:tr>
        <w:tblPrEx>
          <w:tblCellMar>
            <w:top w:w="0" w:type="dxa"/>
            <w:left w:w="108" w:type="dxa"/>
            <w:bottom w:w="0" w:type="dxa"/>
            <w:right w:w="108" w:type="dxa"/>
          </w:tblCellMar>
        </w:tblPrEx>
        <w:trPr>
          <w:trHeight w:val="473" w:hRule="exact"/>
          <w:tblHeader/>
          <w:jc w:val="center"/>
        </w:trPr>
        <w:tc>
          <w:tcPr>
            <w:tcW w:w="61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（90分）</w:t>
            </w:r>
          </w:p>
        </w:tc>
        <w:tc>
          <w:tcPr>
            <w:tcW w:w="71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62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505"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49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878"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50分</w:t>
            </w: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举行北京国际消化疾病论坛、消化医师研修班、消化直通车万里行、继续教育培训班等</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8</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14</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超30%变动,填写原因</w:t>
            </w: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指导论文写作</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2</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32</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SCI总影响因子</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160</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438.691</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开展新技术</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7</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申报国家级/省部级人才项目</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5</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70</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1</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人才培养</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24</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39</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新增学委会任职/学会委员以上任职</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8</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12</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1</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发表SCI论文中文核心期刊论文数量</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127</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课题数据分享</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2</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5</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获批专利</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5</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10</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申请新项目</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19</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撰写研究报告</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5</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5</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33" w:hRule="exact"/>
          <w:tblHeader/>
          <w:jc w:val="center"/>
        </w:trPr>
        <w:tc>
          <w:tcPr>
            <w:tcW w:w="61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Style w:val="11"/>
                <w:rFonts w:hint="eastAsia" w:asciiTheme="majorEastAsia" w:hAnsiTheme="majorEastAsia" w:eastAsiaTheme="majorEastAsia" w:cstheme="majorEastAsia"/>
                <w:sz w:val="18"/>
                <w:szCs w:val="18"/>
                <w:lang w:val="en-US" w:eastAsia="zh-CN" w:bidi="ar"/>
              </w:rPr>
              <w:t>参加学术会议、学术交流</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17</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88</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46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学术影响力</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参与大会发言，提高单位及团队知名度，提升科研水平国际竞争力</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参与大会发言，提升科研水平国际竞争力</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个性化导师考核</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按时完成</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按时完成</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门诊量及收治病人数增</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2</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5</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33"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课题、实验、研究报告符合的标准/技术参数</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达到要求，通过上级验收</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达到要求</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5</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4</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42"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项目年度预算控制数</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564.93</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Theme="majorEastAsia" w:hAnsiTheme="majorEastAsia" w:eastAsiaTheme="majorEastAsia" w:cstheme="majorEastAsia"/>
                <w:i w:val="0"/>
                <w:color w:val="000000"/>
                <w:kern w:val="0"/>
                <w:sz w:val="18"/>
                <w:szCs w:val="18"/>
                <w:u w:val="none"/>
                <w:lang w:val="en-US" w:eastAsia="zh-CN" w:bidi="ar"/>
              </w:rPr>
              <w:t>564..93</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20</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lang w:val="en-US" w:eastAsia="zh-CN"/>
              </w:rPr>
            </w:pPr>
            <w:r>
              <w:rPr>
                <w:rFonts w:hint="eastAsia" w:asciiTheme="majorEastAsia" w:hAnsiTheme="majorEastAsia" w:eastAsiaTheme="majorEastAsia" w:cstheme="majorEastAsia"/>
                <w:kern w:val="0"/>
                <w:sz w:val="18"/>
                <w:szCs w:val="18"/>
                <w:lang w:val="en-US" w:eastAsia="zh-CN"/>
              </w:rPr>
              <w:t>20</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45"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30分</w:t>
            </w: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为APG-1244/1252的药物开发及临床试验提供基础数据支撑</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符合数据支撑</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为临床提供数据支撑</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08"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与企业合作开展器械评价研究，促进国产设备创新优化</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促进国产设备创新优化</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促进国产设备创新优化</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23"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为结肠癌的药物治疗提供实验基础及新思路</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为同类治疗提供新思路</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 xml:space="preserve">为同类治疗提供新思路  </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36"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S100A8/A9对肾移植BKV感染预后的预测作用</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改善肾移植BKV感染患者诊疗方式</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改善肾移植BKV感染患者诊疗方式</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9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1.知名度的提高，有助于吸引更多患者前来就医；2.能够吸引国外资源；3.能够吸引更多团队共同合作。</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能够更有效的得到科研产出</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知名度提高，有助于吸引更多患者；能够吸引更多团队共同合作</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1</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5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掌握医学科技成果转化培训知识的科研人员及科研管理人员</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500</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501</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6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国际/国家学术交流</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7</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19</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80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开展消化道早癌早诊早治工作，开展消化系统进展期肿瘤的介入治疗，进行消化内镜技术及国产内镜设备推广培训，开展多中心大样本消化系统疾病诊疗技术/药物的临床实验</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提高病人生活质量、提升影响力、促进技术创新</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提高病人生活质量、提升影响力、促进技术创新</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05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1.团队综合竞争力得到提升；2.扩大业界交际圈，能够获得多方资源；3.团队国内业界影响力得到提升。</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知名度上升，科研竞争力得到提升</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知名度上升，科研竞争力提升</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35"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restart"/>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团队成员、研究生研究方向明确，国内外学术影响力持续提升</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明确研究方向，提升国际影响力</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明确研究方向，提升国际影响力</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1</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45"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共同组织举办会议</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1</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0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论文引用</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3</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14</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67"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团队成员参加培训</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4</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15</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45"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628" w:type="dxa"/>
            <w:vMerge w:val="continue"/>
            <w:tcBorders>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促进结肠癌药物的研发及疾病的治疗方式提升</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促进同类药物研究及治疗的提升</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促进同类药物研究及治疗的提升</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414" w:hRule="exact"/>
          <w:tblHeader/>
          <w:jc w:val="center"/>
        </w:trPr>
        <w:tc>
          <w:tcPr>
            <w:tcW w:w="615" w:type="dxa"/>
            <w:vMerge w:val="continue"/>
            <w:tcBorders>
              <w:left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c>
          <w:tcPr>
            <w:tcW w:w="71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100满意度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10分</w:t>
            </w:r>
          </w:p>
        </w:tc>
        <w:tc>
          <w:tcPr>
            <w:tcW w:w="62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77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门诊及住院患者满意度、参加培训的进修医师满意度</w:t>
            </w:r>
          </w:p>
        </w:tc>
        <w:tc>
          <w:tcPr>
            <w:tcW w:w="1401"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i w:val="0"/>
                <w:color w:val="000000"/>
                <w:kern w:val="0"/>
                <w:sz w:val="18"/>
                <w:szCs w:val="18"/>
                <w:u w:val="none"/>
                <w:lang w:val="en-US" w:eastAsia="zh-CN" w:bidi="ar"/>
              </w:rPr>
              <w:t>90</w:t>
            </w:r>
          </w:p>
        </w:tc>
        <w:tc>
          <w:tcPr>
            <w:tcW w:w="1505"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kern w:val="0"/>
                <w:sz w:val="18"/>
                <w:szCs w:val="18"/>
                <w:lang w:val="en-US"/>
              </w:rPr>
            </w:pPr>
            <w:r>
              <w:rPr>
                <w:rFonts w:hint="eastAsia" w:asciiTheme="majorEastAsia" w:hAnsiTheme="majorEastAsia" w:eastAsiaTheme="majorEastAsia" w:cstheme="majorEastAsia"/>
                <w:i w:val="0"/>
                <w:color w:val="000000"/>
                <w:kern w:val="0"/>
                <w:sz w:val="18"/>
                <w:szCs w:val="18"/>
                <w:u w:val="none"/>
                <w:lang w:val="en-US" w:eastAsia="zh-CN" w:bidi="ar"/>
              </w:rPr>
              <w:t>90.</w:t>
            </w:r>
            <w:bookmarkStart w:id="0" w:name="_GoBack"/>
            <w:bookmarkEnd w:id="0"/>
            <w:r>
              <w:rPr>
                <w:rFonts w:hint="eastAsia" w:asciiTheme="majorEastAsia" w:hAnsiTheme="majorEastAsia" w:eastAsiaTheme="majorEastAsia" w:cstheme="majorEastAsia"/>
                <w:i w:val="0"/>
                <w:color w:val="000000"/>
                <w:kern w:val="0"/>
                <w:sz w:val="18"/>
                <w:szCs w:val="18"/>
                <w:u w:val="none"/>
                <w:lang w:val="en-US" w:eastAsia="zh-CN" w:bidi="ar"/>
              </w:rPr>
              <w:t>9</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kern w:val="0"/>
                <w:sz w:val="18"/>
                <w:szCs w:val="18"/>
              </w:rPr>
            </w:pPr>
            <w:r>
              <w:rPr>
                <w:rFonts w:hint="eastAsia" w:asciiTheme="majorEastAsia" w:hAnsiTheme="majorEastAsia" w:eastAsiaTheme="majorEastAsia" w:cstheme="majorEastAsia"/>
                <w:kern w:val="0"/>
                <w:sz w:val="18"/>
                <w:szCs w:val="18"/>
                <w:lang w:val="en-US" w:eastAsia="zh-CN"/>
              </w:rPr>
              <w:t>2</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38" w:hRule="exact"/>
          <w:tblHeader/>
          <w:jc w:val="center"/>
        </w:trPr>
        <w:tc>
          <w:tcPr>
            <w:tcW w:w="7637" w:type="dxa"/>
            <w:gridSpan w:val="8"/>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kern w:val="0"/>
                <w:sz w:val="18"/>
                <w:szCs w:val="18"/>
                <w:lang w:eastAsia="zh-CN"/>
              </w:rPr>
            </w:pPr>
            <w:r>
              <w:rPr>
                <w:rFonts w:hint="eastAsia" w:asciiTheme="majorEastAsia" w:hAnsiTheme="majorEastAsia" w:eastAsiaTheme="majorEastAsia" w:cstheme="majorEastAsia"/>
                <w:color w:val="000000"/>
                <w:kern w:val="0"/>
                <w:sz w:val="18"/>
                <w:szCs w:val="18"/>
                <w:lang w:eastAsia="zh-CN"/>
              </w:rPr>
              <w:t>总分</w:t>
            </w:r>
          </w:p>
        </w:tc>
        <w:tc>
          <w:tcPr>
            <w:tcW w:w="57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kern w:val="0"/>
                <w:sz w:val="18"/>
                <w:szCs w:val="18"/>
                <w:lang w:val="en-US" w:eastAsia="zh-CN"/>
              </w:rPr>
            </w:pPr>
            <w:r>
              <w:rPr>
                <w:rFonts w:hint="eastAsia" w:asciiTheme="majorEastAsia" w:hAnsiTheme="majorEastAsia" w:eastAsiaTheme="majorEastAsia" w:cstheme="majorEastAsia"/>
                <w:color w:val="000000"/>
                <w:kern w:val="0"/>
                <w:sz w:val="18"/>
                <w:szCs w:val="18"/>
                <w:lang w:val="en-US" w:eastAsia="zh-CN"/>
              </w:rPr>
              <w:t>100</w:t>
            </w:r>
          </w:p>
        </w:tc>
        <w:tc>
          <w:tcPr>
            <w:tcW w:w="49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Theme="majorEastAsia" w:hAnsiTheme="majorEastAsia" w:eastAsiaTheme="majorEastAsia" w:cstheme="majorEastAsia"/>
                <w:color w:val="000000"/>
                <w:kern w:val="0"/>
                <w:sz w:val="18"/>
                <w:szCs w:val="18"/>
                <w:lang w:val="en-US" w:eastAsia="zh-CN"/>
              </w:rPr>
            </w:pPr>
            <w:r>
              <w:rPr>
                <w:rFonts w:hint="eastAsia" w:asciiTheme="majorEastAsia" w:hAnsiTheme="majorEastAsia" w:eastAsiaTheme="majorEastAsia" w:cstheme="majorEastAsia"/>
                <w:color w:val="000000"/>
                <w:kern w:val="0"/>
                <w:sz w:val="18"/>
                <w:szCs w:val="18"/>
                <w:lang w:val="en-US" w:eastAsia="zh-CN"/>
              </w:rPr>
              <w:t>95</w:t>
            </w:r>
          </w:p>
        </w:tc>
        <w:tc>
          <w:tcPr>
            <w:tcW w:w="149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gzNzdiOGRlNGNlMjhmMzI3MWMzZjU3MWY5YzVhY2UifQ=="/>
  </w:docVars>
  <w:rsids>
    <w:rsidRoot w:val="28FF42C9"/>
    <w:rsid w:val="002005F2"/>
    <w:rsid w:val="006070B1"/>
    <w:rsid w:val="00BF570C"/>
    <w:rsid w:val="0167401F"/>
    <w:rsid w:val="1C46568C"/>
    <w:rsid w:val="28FF42C9"/>
    <w:rsid w:val="529506F0"/>
    <w:rsid w:val="52FD4C6A"/>
    <w:rsid w:val="63872CC8"/>
    <w:rsid w:val="6E783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kern w:val="0"/>
      <w:sz w:val="24"/>
    </w:rPr>
  </w:style>
  <w:style w:type="character" w:customStyle="1" w:styleId="9">
    <w:name w:val="页眉 Char"/>
    <w:basedOn w:val="8"/>
    <w:link w:val="5"/>
    <w:autoRedefine/>
    <w:qFormat/>
    <w:uiPriority w:val="0"/>
    <w:rPr>
      <w:kern w:val="2"/>
      <w:sz w:val="18"/>
      <w:szCs w:val="18"/>
    </w:rPr>
  </w:style>
  <w:style w:type="character" w:customStyle="1" w:styleId="10">
    <w:name w:val="页脚 Char"/>
    <w:basedOn w:val="8"/>
    <w:link w:val="4"/>
    <w:autoRedefine/>
    <w:qFormat/>
    <w:uiPriority w:val="0"/>
    <w:rPr>
      <w:kern w:val="2"/>
      <w:sz w:val="18"/>
      <w:szCs w:val="18"/>
    </w:rPr>
  </w:style>
  <w:style w:type="character" w:customStyle="1" w:styleId="11">
    <w:name w:val="font01"/>
    <w:basedOn w:val="8"/>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Words>
  <Characters>616</Characters>
  <Lines>5</Lines>
  <Paragraphs>1</Paragraphs>
  <TotalTime>11</TotalTime>
  <ScaleCrop>false</ScaleCrop>
  <LinksUpToDate>false</LinksUpToDate>
  <CharactersWithSpaces>722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小鹿同学</cp:lastModifiedBy>
  <dcterms:modified xsi:type="dcterms:W3CDTF">2024-04-25T14:59:02Z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F03ACE3CE6D146728D76A4A7EDF0ACF2_11</vt:lpwstr>
  </property>
</Properties>
</file>