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5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575"/>
        <w:gridCol w:w="798"/>
        <w:gridCol w:w="269"/>
        <w:gridCol w:w="757"/>
        <w:gridCol w:w="532"/>
        <w:gridCol w:w="966"/>
        <w:gridCol w:w="1306"/>
        <w:gridCol w:w="469"/>
        <w:gridCol w:w="92"/>
        <w:gridCol w:w="757"/>
        <w:gridCol w:w="757"/>
        <w:gridCol w:w="6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325" w:type="pct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朝阳医院学科发展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1949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04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334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首都医科大学附属北京朝阳医院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949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宋楠</w:t>
            </w:r>
          </w:p>
        </w:tc>
        <w:tc>
          <w:tcPr>
            <w:tcW w:w="104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334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85231217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4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（万元）</w:t>
            </w: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  <w:bookmarkStart w:id="0" w:name="_GoBack"/>
            <w:bookmarkEnd w:id="0"/>
          </w:p>
        </w:tc>
        <w:tc>
          <w:tcPr>
            <w:tcW w:w="62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4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9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3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4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113.68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113.68</w:t>
            </w:r>
          </w:p>
        </w:tc>
        <w:tc>
          <w:tcPr>
            <w:tcW w:w="104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113.638026</w:t>
            </w:r>
          </w:p>
        </w:tc>
        <w:tc>
          <w:tcPr>
            <w:tcW w:w="49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99.96%</w:t>
            </w:r>
          </w:p>
        </w:tc>
        <w:tc>
          <w:tcPr>
            <w:tcW w:w="3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4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113.68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113.68</w:t>
            </w:r>
          </w:p>
        </w:tc>
        <w:tc>
          <w:tcPr>
            <w:tcW w:w="104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113.638026</w:t>
            </w:r>
          </w:p>
        </w:tc>
        <w:tc>
          <w:tcPr>
            <w:tcW w:w="49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99.96%</w:t>
            </w:r>
          </w:p>
        </w:tc>
        <w:tc>
          <w:tcPr>
            <w:tcW w:w="3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4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04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9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3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4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7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04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9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3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3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2287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375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5" w:hRule="atLeast"/>
        </w:trPr>
        <w:tc>
          <w:tcPr>
            <w:tcW w:w="33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87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根据市医管中心通过第三方评估，确定的学科范围，结合医院“十四五”规划，筛选出具有一定基础和较大发展潜力的学科，设立预期任务目标，提出排行榜排名、高质量论文、人才梯队建设、学术影响力等绩效指标，推动学科发展。按市医管中心布局，定向支持老年医院、小汤山医院学科发展，经过需求分析和院内遴选，选择具备合作基础、能够形成良好合作的市属医院共同申报，经评审立项后，市医管中心同时资助合作双方。针对严重危害北京市民健康的疾病，开展临床诊疗关键技术的原创性研究，力争形成诊疗技术规范；开展以精准医学为发展方向的新型诊疗服务应用研究，形成具有自主知识产权的新技术；探索建立有效的防控策略。</w:t>
            </w:r>
          </w:p>
        </w:tc>
        <w:tc>
          <w:tcPr>
            <w:tcW w:w="2375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经过一年的项目执行及专业建设，按照任务书签订内容开展7项临床研究，全年总计发表SCI论文25篇，中文核心期刊7篇，培养学科骨干18人，申请专利2项，同时形成相关课题的研究报告。所有项目按照任务书计划于2023年12月31日完成，经费按照计划全部支出，相关临床新技术推广至2家医院，减少手术患者平均住院时间，减少相关治疗时间。定向帮扶老年医院老年急诊医学重点医学专业建设，建成具有国内外领先/先进水平的区域老年急诊重症感染临床医学诊疗中心、搭建完善的社区-院前-院内急诊-重症监护病房-出院随访闭环式管理平台模式。通过开展临床检验标准化及一致化领域临床技术研发及成果推广、临床检验质量规范化领域培训与教学、临床检验领域人才培养及梯队建设、临床检验领域学术交流和合作平台建设等工作，帮扶小汤山医院临床检验重点医学专业建设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337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46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14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年度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实际</w:t>
            </w:r>
          </w:p>
        </w:tc>
        <w:tc>
          <w:tcPr>
            <w:tcW w:w="329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444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836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3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4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329" w:type="pct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6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3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7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46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SCI论文篇数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≥16篇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32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3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3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孙兵-形成早期俯卧位通气相关研究报告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=1个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2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3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3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梅雪-形成老年急诊医学研究报告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=1个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2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3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3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发表文章篇数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≥5个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32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3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3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申请专利个数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≥2个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2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3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3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培养学科骨干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≥12人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2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3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3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开展课题研究数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=7个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32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3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3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课题研究符合标准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=100%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32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3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3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中文核心期刊论文达到的水平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=100%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32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3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项目完成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≤12月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023年12月前</w:t>
            </w:r>
          </w:p>
        </w:tc>
        <w:tc>
          <w:tcPr>
            <w:tcW w:w="32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3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项目成本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＜113.68万元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113.638026</w:t>
            </w:r>
          </w:p>
        </w:tc>
        <w:tc>
          <w:tcPr>
            <w:tcW w:w="32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3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7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46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王广-复旦专科声誉排行榜专科排名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提名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第48名</w:t>
            </w:r>
          </w:p>
        </w:tc>
        <w:tc>
          <w:tcPr>
            <w:tcW w:w="32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3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33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杨敏福-临床新技术的研发、实施与推广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≥2家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2家（苏州大学附属第三医院、山西医科大学第一医院）</w:t>
            </w:r>
          </w:p>
        </w:tc>
        <w:tc>
          <w:tcPr>
            <w:tcW w:w="32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3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3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陈牧雷-拓展康复服务提供经验及人员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=5人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5人</w:t>
            </w:r>
          </w:p>
        </w:tc>
        <w:tc>
          <w:tcPr>
            <w:tcW w:w="32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3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33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孙兵-记录体外膜肺氧合治疗的时间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评估早期俯卧位通气对于体外膜肺氧合治疗时间的影响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减少体外膜肺氧合治疗时间</w:t>
            </w:r>
          </w:p>
        </w:tc>
        <w:tc>
          <w:tcPr>
            <w:tcW w:w="32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3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3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王云-手术患者平均住院时间缩短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=1天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1天</w:t>
            </w:r>
          </w:p>
        </w:tc>
        <w:tc>
          <w:tcPr>
            <w:tcW w:w="32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3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3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7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46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91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受试者满意度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32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3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3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参与人员/领导满意度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32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3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389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32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3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282B2E"/>
    <w:rsid w:val="009478A8"/>
    <w:rsid w:val="00B24F27"/>
    <w:rsid w:val="00CD4D43"/>
    <w:rsid w:val="0167401F"/>
    <w:rsid w:val="1C46568C"/>
    <w:rsid w:val="28FF42C9"/>
    <w:rsid w:val="353C1B3F"/>
    <w:rsid w:val="63872C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254</Words>
  <Characters>1451</Characters>
  <Lines>12</Lines>
  <Paragraphs>3</Paragraphs>
  <TotalTime>1</TotalTime>
  <ScaleCrop>false</ScaleCrop>
  <LinksUpToDate>false</LinksUpToDate>
  <CharactersWithSpaces>1702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2024-05-11T07:30:05Z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