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03"/>
        <w:gridCol w:w="974"/>
        <w:gridCol w:w="933"/>
        <w:gridCol w:w="880"/>
        <w:gridCol w:w="227"/>
        <w:gridCol w:w="1066"/>
        <w:gridCol w:w="894"/>
        <w:gridCol w:w="240"/>
        <w:gridCol w:w="333"/>
        <w:gridCol w:w="667"/>
        <w:gridCol w:w="933"/>
        <w:gridCol w:w="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积水潭医院新龙泽院区运行补助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芦铭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83.33%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83.33%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一院三址、功能互补、资源共享”的新格局。新院区投入运行后将对临床治疗提供更准确和及时的方案，为临床治疗提供较理想的基础条件，为病人提供优质的服务。 </w:t>
            </w:r>
          </w:p>
        </w:tc>
        <w:tc>
          <w:tcPr>
            <w:tcW w:w="35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完成新院区投入运行后的物资供应保障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材料质量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耗材及试剂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提升科室及医院科研、教学技术水平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持续提高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为患者开展医疗服务带来的影响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医师、护士及技师满意度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97.3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C46568C"/>
    <w:rsid w:val="28FF42C9"/>
    <w:rsid w:val="41F32CCA"/>
    <w:rsid w:val="4A504ED7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2024-05-09T04:41:37Z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D554B76682C547B5B49E7C4D5FB2B86E_13</vt:lpwstr>
  </property>
</Properties>
</file>