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w:t>
      </w:r>
    </w:p>
    <w:tbl>
      <w:tblPr>
        <w:tblStyle w:val="7"/>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98"/>
        <w:gridCol w:w="778"/>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积水潭医院修缮改造</w:t>
            </w:r>
          </w:p>
        </w:tc>
      </w:tr>
      <w:tr>
        <w:tblPrEx>
          <w:tblCellMar>
            <w:top w:w="0" w:type="dxa"/>
            <w:left w:w="108" w:type="dxa"/>
            <w:bottom w:w="0" w:type="dxa"/>
            <w:right w:w="108" w:type="dxa"/>
          </w:tblCellMar>
        </w:tblPrEx>
        <w:trPr>
          <w:trHeight w:val="473"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0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总务处</w:t>
            </w: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首都医科大学附属北京积水潭医院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10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杨旭波</w:t>
            </w: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8516651</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75.91</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39"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161"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通过开展院内服务环境修缮改造项目、新龙泽院区空调冷却塔噪声治理项目，改善医患、居民的就医及生活条件，提升居民就医感受及获得感，为医院高质量发展保驾护航。</w:t>
            </w:r>
          </w:p>
        </w:tc>
        <w:tc>
          <w:tcPr>
            <w:tcW w:w="32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完成新街口院区食堂蒸箱设备及配套燃气管道更新以及院内诊疗环境改善项目，节约了能源，改善了就医环境。</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ascii="宋体" w:hAnsi="宋体" w:cs="宋体"/>
                <w:kern w:val="0"/>
                <w:sz w:val="18"/>
                <w:szCs w:val="18"/>
              </w:rPr>
            </w:pP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888"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指标1：新街口院区食堂蒸箱设备更新及配套燃气管道更新项目</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指标2：院内诊疗环境修缮改造项目</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：新龙泽院区冷却塔噪声治理项目</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指标1：所及产品合格率</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15"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指标2：安装调试合格率</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项目实施中，未完工</w:t>
            </w:r>
          </w:p>
        </w:tc>
      </w:tr>
      <w:tr>
        <w:tblPrEx>
          <w:tblCellMar>
            <w:top w:w="0" w:type="dxa"/>
            <w:left w:w="108" w:type="dxa"/>
            <w:bottom w:w="0" w:type="dxa"/>
            <w:right w:w="108" w:type="dxa"/>
          </w:tblCellMar>
        </w:tblPrEx>
        <w:trPr>
          <w:trHeight w:val="76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：工程验收合格率</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项目实施中，未完工</w:t>
            </w:r>
          </w:p>
        </w:tc>
      </w:tr>
      <w:tr>
        <w:tblPrEx>
          <w:tblCellMar>
            <w:top w:w="0" w:type="dxa"/>
            <w:left w:w="108" w:type="dxa"/>
            <w:bottom w:w="0" w:type="dxa"/>
            <w:right w:w="108" w:type="dxa"/>
          </w:tblCellMar>
        </w:tblPrEx>
        <w:trPr>
          <w:trHeight w:val="1515"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指标1：2023.3完成项目院内立项程序； 2023.6月完成项目院外立项程序； 2023.7-10启动完成招标工作并签订合同。</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优良中低差</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71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指标2：2023.10-2024.12完成年度内计划施工，根据进度完成付款指标，完成项目验收及工程竣工结算。</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优良中低差</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54"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成本指标</w:t>
            </w:r>
          </w:p>
        </w:tc>
        <w:tc>
          <w:tcPr>
            <w:tcW w:w="1092" w:type="dxa"/>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r>
              <w:rPr>
                <w:rFonts w:hint="eastAsia"/>
                <w:sz w:val="18"/>
                <w:szCs w:val="18"/>
              </w:rPr>
              <w:t>经济成本指标</w:t>
            </w:r>
          </w:p>
        </w:tc>
        <w:tc>
          <w:tcPr>
            <w:tcW w:w="2111" w:type="dxa"/>
            <w:gridSpan w:val="3"/>
            <w:tcBorders>
              <w:top w:val="single" w:color="auto" w:sz="4" w:space="0"/>
              <w:left w:val="nil"/>
              <w:bottom w:val="single" w:color="auto" w:sz="4" w:space="0"/>
              <w:right w:val="single" w:color="auto" w:sz="4" w:space="0"/>
            </w:tcBorders>
            <w:vAlign w:val="center"/>
          </w:tcPr>
          <w:p>
            <w:pPr>
              <w:rPr>
                <w:rFonts w:hint="eastAsia"/>
                <w:sz w:val="18"/>
                <w:szCs w:val="18"/>
              </w:rPr>
            </w:pPr>
            <w:r>
              <w:rPr>
                <w:rFonts w:hint="eastAsia"/>
                <w:sz w:val="18"/>
                <w:szCs w:val="18"/>
              </w:rPr>
              <w:t>控制预算总成本</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375.91万元</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375.91万元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45"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营造安全、舒适的运行环境，为医护工作保驾护航。为居民提供符合居住条件的环境。</w:t>
            </w:r>
          </w:p>
        </w:tc>
        <w:tc>
          <w:tcPr>
            <w:tcW w:w="8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优良中低差</w:t>
            </w:r>
          </w:p>
        </w:tc>
        <w:tc>
          <w:tcPr>
            <w:tcW w:w="7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7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开展医患满意度评价</w:t>
            </w:r>
          </w:p>
        </w:tc>
        <w:tc>
          <w:tcPr>
            <w:tcW w:w="89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7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pPr>
              <w:widowControl/>
              <w:spacing w:line="240" w:lineRule="exact"/>
              <w:rPr>
                <w:rFonts w:ascii="宋体" w:hAnsi="宋体" w:cs="宋体"/>
                <w:color w:val="000000"/>
                <w:kern w:val="0"/>
                <w:sz w:val="18"/>
                <w:szCs w:val="18"/>
              </w:rPr>
            </w:pPr>
            <w:r>
              <w:rPr>
                <w:rFonts w:ascii="宋体" w:hAnsi="宋体" w:cs="宋体"/>
                <w:color w:val="000000"/>
                <w:kern w:val="0"/>
                <w:sz w:val="18"/>
                <w:szCs w:val="18"/>
              </w:rPr>
              <w:t>90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NmQ4MDA4OTI5N2E2MmViMjBiYjIxNzcxMDM4OTkifQ=="/>
  </w:docVars>
  <w:rsids>
    <w:rsidRoot w:val="28FF42C9"/>
    <w:rsid w:val="00007A0D"/>
    <w:rsid w:val="000819E8"/>
    <w:rsid w:val="00092F4D"/>
    <w:rsid w:val="000964C8"/>
    <w:rsid w:val="000E5483"/>
    <w:rsid w:val="00135372"/>
    <w:rsid w:val="00296AA2"/>
    <w:rsid w:val="00362F16"/>
    <w:rsid w:val="00454752"/>
    <w:rsid w:val="004F1D17"/>
    <w:rsid w:val="006E47DD"/>
    <w:rsid w:val="0070414D"/>
    <w:rsid w:val="007D121E"/>
    <w:rsid w:val="008209E3"/>
    <w:rsid w:val="008C0ABB"/>
    <w:rsid w:val="00AE4C17"/>
    <w:rsid w:val="00B1234C"/>
    <w:rsid w:val="00B72C84"/>
    <w:rsid w:val="00B75523"/>
    <w:rsid w:val="00BB1135"/>
    <w:rsid w:val="00D011A3"/>
    <w:rsid w:val="00D02513"/>
    <w:rsid w:val="00D71154"/>
    <w:rsid w:val="00D71728"/>
    <w:rsid w:val="00D84CB3"/>
    <w:rsid w:val="00DB4CE4"/>
    <w:rsid w:val="00E352AA"/>
    <w:rsid w:val="00E67434"/>
    <w:rsid w:val="00EA528B"/>
    <w:rsid w:val="00EB5974"/>
    <w:rsid w:val="00EB6EB5"/>
    <w:rsid w:val="00EF6116"/>
    <w:rsid w:val="00F73E5D"/>
    <w:rsid w:val="00FF11C6"/>
    <w:rsid w:val="0167401F"/>
    <w:rsid w:val="1C46568C"/>
    <w:rsid w:val="28FF42C9"/>
    <w:rsid w:val="5C3E350A"/>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Autospacing="1" w:afterAutospacing="1"/>
      <w:jc w:val="left"/>
    </w:pPr>
    <w:rPr>
      <w:kern w:val="0"/>
      <w:sz w:val="24"/>
    </w:rPr>
  </w:style>
  <w:style w:type="character" w:customStyle="1" w:styleId="9">
    <w:name w:val="页眉 Char"/>
    <w:basedOn w:val="8"/>
    <w:link w:val="5"/>
    <w:uiPriority w:val="0"/>
    <w:rPr>
      <w:kern w:val="2"/>
      <w:sz w:val="18"/>
      <w:szCs w:val="18"/>
    </w:rPr>
  </w:style>
  <w:style w:type="character" w:customStyle="1" w:styleId="10">
    <w:name w:val="页脚 Char"/>
    <w:basedOn w:val="8"/>
    <w:link w:val="4"/>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Words>
  <Characters>886</Characters>
  <Lines>7</Lines>
  <Paragraphs>2</Paragraphs>
  <TotalTime>233</TotalTime>
  <ScaleCrop>false</ScaleCrop>
  <LinksUpToDate>false</LinksUpToDate>
  <CharactersWithSpaces>1039</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dcterms:modified xsi:type="dcterms:W3CDTF">2024-04-29T08:33:25Z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F03ACE3CE6D146728D76A4A7EDF0ACF2_11</vt:lpwstr>
  </property>
</Properties>
</file>