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仿宋_GB2312"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tbl>
      <w:tblPr>
        <w:tblStyle w:val="5"/>
        <w:tblW w:w="5000" w:type="pct"/>
        <w:jc w:val="center"/>
        <w:tblLayout w:type="autofit"/>
        <w:tblCellMar>
          <w:top w:w="0" w:type="dxa"/>
          <w:left w:w="108" w:type="dxa"/>
          <w:bottom w:w="0" w:type="dxa"/>
          <w:right w:w="108" w:type="dxa"/>
        </w:tblCellMar>
      </w:tblPr>
      <w:tblGrid>
        <w:gridCol w:w="636"/>
        <w:gridCol w:w="900"/>
        <w:gridCol w:w="1208"/>
        <w:gridCol w:w="639"/>
        <w:gridCol w:w="856"/>
        <w:gridCol w:w="281"/>
        <w:gridCol w:w="902"/>
        <w:gridCol w:w="760"/>
        <w:gridCol w:w="430"/>
        <w:gridCol w:w="84"/>
        <w:gridCol w:w="568"/>
        <w:gridCol w:w="658"/>
        <w:gridCol w:w="600"/>
      </w:tblGrid>
      <w:tr>
        <w:tblPrEx>
          <w:tblCellMar>
            <w:top w:w="0" w:type="dxa"/>
            <w:left w:w="108" w:type="dxa"/>
            <w:bottom w:w="0" w:type="dxa"/>
            <w:right w:w="108" w:type="dxa"/>
          </w:tblCellMar>
        </w:tblPrEx>
        <w:trPr>
          <w:trHeight w:val="440" w:hRule="exact"/>
          <w:jc w:val="center"/>
        </w:trPr>
        <w:tc>
          <w:tcPr>
            <w:tcW w:w="5000" w:type="pct"/>
            <w:gridSpan w:val="13"/>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5000" w:type="pct"/>
            <w:gridSpan w:val="13"/>
            <w:tcBorders>
              <w:top w:val="nil"/>
              <w:left w:val="nil"/>
              <w:bottom w:val="nil"/>
              <w:right w:val="nil"/>
            </w:tcBorders>
            <w:noWrap w:val="0"/>
            <w:vAlign w:val="top"/>
          </w:tcPr>
          <w:p>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2023</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902" w:type="pct"/>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项目名称</w:t>
            </w:r>
          </w:p>
        </w:tc>
        <w:tc>
          <w:tcPr>
            <w:tcW w:w="4097" w:type="pct"/>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积水潭医院医学人才培养</w:t>
            </w:r>
          </w:p>
        </w:tc>
      </w:tr>
      <w:tr>
        <w:tblPrEx>
          <w:tblCellMar>
            <w:top w:w="0" w:type="dxa"/>
            <w:left w:w="108" w:type="dxa"/>
            <w:bottom w:w="0" w:type="dxa"/>
            <w:right w:w="108" w:type="dxa"/>
          </w:tblCellMar>
        </w:tblPrEx>
        <w:trPr>
          <w:trHeight w:val="485" w:hRule="exact"/>
          <w:jc w:val="center"/>
        </w:trPr>
        <w:tc>
          <w:tcPr>
            <w:tcW w:w="902" w:type="pct"/>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主管部门</w:t>
            </w:r>
          </w:p>
        </w:tc>
        <w:tc>
          <w:tcPr>
            <w:tcW w:w="2279" w:type="pct"/>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北京市医院管理中心</w:t>
            </w:r>
          </w:p>
        </w:tc>
        <w:tc>
          <w:tcPr>
            <w:tcW w:w="696"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实施单位</w:t>
            </w:r>
          </w:p>
        </w:tc>
        <w:tc>
          <w:tcPr>
            <w:tcW w:w="1120" w:type="pct"/>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首都医科大学附属北京积水潭医院</w:t>
            </w:r>
          </w:p>
        </w:tc>
      </w:tr>
      <w:tr>
        <w:tblPrEx>
          <w:tblCellMar>
            <w:top w:w="0" w:type="dxa"/>
            <w:left w:w="108" w:type="dxa"/>
            <w:bottom w:w="0" w:type="dxa"/>
            <w:right w:w="108" w:type="dxa"/>
          </w:tblCellMar>
        </w:tblPrEx>
        <w:trPr>
          <w:trHeight w:val="291" w:hRule="exact"/>
          <w:jc w:val="center"/>
        </w:trPr>
        <w:tc>
          <w:tcPr>
            <w:tcW w:w="902" w:type="pct"/>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项目</w:t>
            </w:r>
            <w:r>
              <w:rPr>
                <w:rFonts w:ascii="宋体" w:hAnsi="宋体" w:cs="宋体"/>
                <w:kern w:val="0"/>
                <w:sz w:val="18"/>
                <w:szCs w:val="18"/>
              </w:rPr>
              <w:t>负责人</w:t>
            </w:r>
          </w:p>
        </w:tc>
        <w:tc>
          <w:tcPr>
            <w:tcW w:w="2279" w:type="pct"/>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王珍</w:t>
            </w:r>
          </w:p>
        </w:tc>
        <w:tc>
          <w:tcPr>
            <w:tcW w:w="696"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ascii="宋体" w:hAnsi="宋体" w:cs="宋体"/>
                <w:kern w:val="0"/>
                <w:sz w:val="18"/>
                <w:szCs w:val="18"/>
              </w:rPr>
              <w:t>联系电话</w:t>
            </w:r>
          </w:p>
        </w:tc>
        <w:tc>
          <w:tcPr>
            <w:tcW w:w="1120" w:type="pct"/>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58516688</w:t>
            </w:r>
          </w:p>
        </w:tc>
      </w:tr>
      <w:tr>
        <w:tblPrEx>
          <w:tblCellMar>
            <w:top w:w="0" w:type="dxa"/>
            <w:left w:w="108" w:type="dxa"/>
            <w:bottom w:w="0" w:type="dxa"/>
            <w:right w:w="108" w:type="dxa"/>
          </w:tblCellMar>
        </w:tblPrEx>
        <w:trPr>
          <w:trHeight w:val="644" w:hRule="exact"/>
          <w:jc w:val="center"/>
        </w:trPr>
        <w:tc>
          <w:tcPr>
            <w:tcW w:w="902" w:type="pct"/>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p>
            <w:pPr>
              <w:widowControl/>
              <w:spacing w:line="240" w:lineRule="exact"/>
              <w:jc w:val="center"/>
              <w:rPr>
                <w:rFonts w:ascii="宋体" w:hAnsi="宋体" w:cs="宋体"/>
                <w:kern w:val="0"/>
                <w:sz w:val="18"/>
                <w:szCs w:val="18"/>
              </w:rPr>
            </w:pPr>
          </w:p>
        </w:tc>
        <w:tc>
          <w:tcPr>
            <w:tcW w:w="1084"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c>
          <w:tcPr>
            <w:tcW w:w="502" w:type="pc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年初预算数</w:t>
            </w:r>
          </w:p>
        </w:tc>
        <w:tc>
          <w:tcPr>
            <w:tcW w:w="692"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全年预算数</w:t>
            </w:r>
          </w:p>
        </w:tc>
        <w:tc>
          <w:tcPr>
            <w:tcW w:w="696"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全年执行数</w:t>
            </w:r>
          </w:p>
        </w:tc>
        <w:tc>
          <w:tcPr>
            <w:tcW w:w="382"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分值</w:t>
            </w:r>
          </w:p>
        </w:tc>
        <w:tc>
          <w:tcPr>
            <w:tcW w:w="386" w:type="pct"/>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执行率</w:t>
            </w:r>
          </w:p>
        </w:tc>
        <w:tc>
          <w:tcPr>
            <w:tcW w:w="352" w:type="pc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47" w:hRule="exact"/>
          <w:jc w:val="center"/>
        </w:trPr>
        <w:tc>
          <w:tcPr>
            <w:tcW w:w="902"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84"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eastAsia="宋体" w:cs="宋体"/>
                <w:kern w:val="0"/>
                <w:sz w:val="18"/>
                <w:szCs w:val="18"/>
                <w:lang w:val="en-US" w:eastAsia="zh-CN" w:bidi="ar-SA"/>
              </w:rPr>
            </w:pPr>
            <w:r>
              <w:rPr>
                <w:rFonts w:hint="eastAsia" w:ascii="宋体" w:hAnsi="宋体" w:cs="宋体"/>
                <w:kern w:val="0"/>
                <w:sz w:val="18"/>
                <w:szCs w:val="18"/>
              </w:rPr>
              <w:t>年度资金总额</w:t>
            </w:r>
          </w:p>
        </w:tc>
        <w:tc>
          <w:tcPr>
            <w:tcW w:w="502"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357.59</w:t>
            </w:r>
          </w:p>
        </w:tc>
        <w:tc>
          <w:tcPr>
            <w:tcW w:w="692"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357.59</w:t>
            </w:r>
          </w:p>
        </w:tc>
        <w:tc>
          <w:tcPr>
            <w:tcW w:w="696"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357.59</w:t>
            </w:r>
          </w:p>
        </w:tc>
        <w:tc>
          <w:tcPr>
            <w:tcW w:w="382"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w:t>
            </w:r>
          </w:p>
        </w:tc>
        <w:tc>
          <w:tcPr>
            <w:tcW w:w="386" w:type="pct"/>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100%</w:t>
            </w:r>
          </w:p>
        </w:tc>
        <w:tc>
          <w:tcPr>
            <w:tcW w:w="352"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902"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84"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其中：当年财政拨款</w:t>
            </w:r>
          </w:p>
        </w:tc>
        <w:tc>
          <w:tcPr>
            <w:tcW w:w="502"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b w:val="0"/>
                <w:bCs w:val="0"/>
                <w:kern w:val="0"/>
                <w:sz w:val="18"/>
                <w:szCs w:val="18"/>
                <w:lang w:val="en-US" w:eastAsia="zh-CN" w:bidi="ar-SA"/>
              </w:rPr>
            </w:pPr>
            <w:r>
              <w:rPr>
                <w:rFonts w:hint="eastAsia" w:ascii="宋体" w:hAnsi="宋体" w:cs="宋体"/>
                <w:b w:val="0"/>
                <w:bCs w:val="0"/>
                <w:kern w:val="0"/>
                <w:sz w:val="18"/>
                <w:szCs w:val="18"/>
                <w:lang w:val="en-US" w:eastAsia="zh-CN"/>
              </w:rPr>
              <w:t>357.59</w:t>
            </w:r>
          </w:p>
        </w:tc>
        <w:tc>
          <w:tcPr>
            <w:tcW w:w="692"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b w:val="0"/>
                <w:bCs w:val="0"/>
                <w:kern w:val="0"/>
                <w:sz w:val="18"/>
                <w:szCs w:val="18"/>
                <w:lang w:val="en-US" w:eastAsia="zh-CN" w:bidi="ar-SA"/>
              </w:rPr>
            </w:pPr>
            <w:r>
              <w:rPr>
                <w:rFonts w:hint="eastAsia" w:ascii="宋体" w:hAnsi="宋体" w:cs="宋体"/>
                <w:b w:val="0"/>
                <w:bCs w:val="0"/>
                <w:kern w:val="0"/>
                <w:sz w:val="18"/>
                <w:szCs w:val="18"/>
                <w:lang w:val="en-US" w:eastAsia="zh-CN"/>
              </w:rPr>
              <w:t>357.59</w:t>
            </w:r>
          </w:p>
        </w:tc>
        <w:tc>
          <w:tcPr>
            <w:tcW w:w="696"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b w:val="0"/>
                <w:bCs w:val="0"/>
                <w:kern w:val="0"/>
                <w:sz w:val="18"/>
                <w:szCs w:val="18"/>
                <w:lang w:val="en-US" w:eastAsia="zh-CN" w:bidi="ar-SA"/>
              </w:rPr>
            </w:pPr>
            <w:r>
              <w:rPr>
                <w:rFonts w:hint="eastAsia" w:ascii="宋体" w:hAnsi="宋体" w:cs="宋体"/>
                <w:b w:val="0"/>
                <w:bCs w:val="0"/>
                <w:kern w:val="0"/>
                <w:sz w:val="18"/>
                <w:szCs w:val="18"/>
                <w:lang w:val="en-US" w:eastAsia="zh-CN"/>
              </w:rPr>
              <w:t>357.59</w:t>
            </w:r>
          </w:p>
        </w:tc>
        <w:tc>
          <w:tcPr>
            <w:tcW w:w="382"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w:t>
            </w:r>
          </w:p>
        </w:tc>
        <w:tc>
          <w:tcPr>
            <w:tcW w:w="386" w:type="pct"/>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100%</w:t>
            </w:r>
          </w:p>
        </w:tc>
        <w:tc>
          <w:tcPr>
            <w:tcW w:w="352" w:type="pc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902"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84"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 xml:space="preserve">      上年结转资金</w:t>
            </w:r>
          </w:p>
        </w:tc>
        <w:tc>
          <w:tcPr>
            <w:tcW w:w="502" w:type="pc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c>
          <w:tcPr>
            <w:tcW w:w="692"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c>
          <w:tcPr>
            <w:tcW w:w="696"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c>
          <w:tcPr>
            <w:tcW w:w="382"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w:t>
            </w:r>
          </w:p>
        </w:tc>
        <w:tc>
          <w:tcPr>
            <w:tcW w:w="386" w:type="pct"/>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c>
          <w:tcPr>
            <w:tcW w:w="352" w:type="pc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902"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c>
          <w:tcPr>
            <w:tcW w:w="1084"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 xml:space="preserve">  其他资金</w:t>
            </w:r>
          </w:p>
        </w:tc>
        <w:tc>
          <w:tcPr>
            <w:tcW w:w="502" w:type="pc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c>
          <w:tcPr>
            <w:tcW w:w="692"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c>
          <w:tcPr>
            <w:tcW w:w="696"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c>
          <w:tcPr>
            <w:tcW w:w="382"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w:t>
            </w:r>
          </w:p>
        </w:tc>
        <w:tc>
          <w:tcPr>
            <w:tcW w:w="386" w:type="pct"/>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c>
          <w:tcPr>
            <w:tcW w:w="352" w:type="pc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374" w:type="pct"/>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年度总体目标</w:t>
            </w:r>
          </w:p>
          <w:p>
            <w:pPr>
              <w:widowControl/>
              <w:spacing w:line="240" w:lineRule="exact"/>
              <w:jc w:val="center"/>
              <w:rPr>
                <w:rFonts w:ascii="宋体" w:hAnsi="宋体" w:cs="宋体"/>
                <w:kern w:val="0"/>
                <w:sz w:val="18"/>
                <w:szCs w:val="18"/>
              </w:rPr>
            </w:pPr>
          </w:p>
        </w:tc>
        <w:tc>
          <w:tcPr>
            <w:tcW w:w="2808" w:type="pct"/>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预期目标</w:t>
            </w:r>
          </w:p>
        </w:tc>
        <w:tc>
          <w:tcPr>
            <w:tcW w:w="1817" w:type="pct"/>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154" w:hRule="exact"/>
          <w:jc w:val="center"/>
        </w:trPr>
        <w:tc>
          <w:tcPr>
            <w:tcW w:w="374"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808" w:type="pct"/>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按照要求完成梯队人才培养,举办培训班及开展学术会议，进行特色项目专业研究，培养人才梯队，注重医学创新，建立以重点学科突出，专科性人才，提升医院综合实力，保持重点学科的引领地位，培养一批走在行业前列的集学术型、科研型和技术型为一体的复合型高端人才队伍。</w:t>
            </w:r>
          </w:p>
        </w:tc>
        <w:tc>
          <w:tcPr>
            <w:tcW w:w="1817" w:type="pct"/>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已</w:t>
            </w:r>
            <w:r>
              <w:rPr>
                <w:rFonts w:hint="eastAsia" w:ascii="宋体" w:hAnsi="宋体" w:cs="宋体"/>
                <w:kern w:val="0"/>
                <w:sz w:val="18"/>
                <w:szCs w:val="18"/>
              </w:rPr>
              <w:t>按照要求完成梯队人才培养,举办培训班及开展学术会议，进行特色项目专业研究，培养人才梯队，注重医学创新，建立以重点学科突出，专科性人才，提升医院综合实力，保持重点学科的引领地位，培养一批走在行业前列的集学术型、科研型和技术型为一体的复合型高端人才队伍。</w:t>
            </w:r>
          </w:p>
        </w:tc>
      </w:tr>
      <w:tr>
        <w:tblPrEx>
          <w:tblCellMar>
            <w:top w:w="0" w:type="dxa"/>
            <w:left w:w="108" w:type="dxa"/>
            <w:bottom w:w="0" w:type="dxa"/>
            <w:right w:w="108" w:type="dxa"/>
          </w:tblCellMar>
        </w:tblPrEx>
        <w:trPr>
          <w:trHeight w:val="753" w:hRule="exact"/>
          <w:jc w:val="center"/>
        </w:trPr>
        <w:tc>
          <w:tcPr>
            <w:tcW w:w="374" w:type="pct"/>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pPr>
              <w:widowControl/>
              <w:spacing w:line="240" w:lineRule="exact"/>
              <w:jc w:val="center"/>
              <w:rPr>
                <w:rFonts w:hint="default" w:ascii="宋体" w:hAnsi="宋体" w:eastAsia="宋体" w:cs="宋体"/>
                <w:kern w:val="0"/>
                <w:sz w:val="18"/>
                <w:szCs w:val="18"/>
                <w:lang w:val="en-US" w:eastAsia="zh-CN"/>
              </w:rPr>
            </w:pPr>
          </w:p>
        </w:tc>
        <w:tc>
          <w:tcPr>
            <w:tcW w:w="528" w:type="pc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一级指标</w:t>
            </w:r>
          </w:p>
        </w:tc>
        <w:tc>
          <w:tcPr>
            <w:tcW w:w="709" w:type="pc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二级指标</w:t>
            </w:r>
          </w:p>
        </w:tc>
        <w:tc>
          <w:tcPr>
            <w:tcW w:w="1042" w:type="pct"/>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三级指标</w:t>
            </w:r>
          </w:p>
        </w:tc>
        <w:tc>
          <w:tcPr>
            <w:tcW w:w="528" w:type="pc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指标值</w:t>
            </w:r>
          </w:p>
        </w:tc>
        <w:tc>
          <w:tcPr>
            <w:tcW w:w="444" w:type="pc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完成值</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分值</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得分</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91"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rPr>
              <w:t>产出指标</w:t>
            </w:r>
          </w:p>
        </w:tc>
        <w:tc>
          <w:tcPr>
            <w:tcW w:w="709" w:type="pct"/>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数量指标</w:t>
            </w:r>
          </w:p>
          <w:p>
            <w:pPr>
              <w:widowControl/>
              <w:spacing w:line="240" w:lineRule="exact"/>
              <w:jc w:val="center"/>
              <w:rPr>
                <w:rFonts w:ascii="宋体" w:hAnsi="宋体" w:cs="宋体"/>
                <w:kern w:val="0"/>
                <w:sz w:val="18"/>
                <w:szCs w:val="18"/>
              </w:rPr>
            </w:pPr>
          </w:p>
        </w:tc>
        <w:tc>
          <w:tcPr>
            <w:tcW w:w="1042" w:type="pct"/>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color w:val="000000"/>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完成实验个数</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106个</w:t>
            </w:r>
          </w:p>
        </w:tc>
        <w:tc>
          <w:tcPr>
            <w:tcW w:w="444"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106个</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bidi="ar-SA"/>
              </w:rPr>
            </w:pPr>
            <w:r>
              <w:rPr>
                <w:rFonts w:hint="eastAsia" w:ascii="宋体" w:hAnsi="宋体" w:cs="宋体"/>
                <w:kern w:val="0"/>
                <w:sz w:val="18"/>
                <w:szCs w:val="18"/>
                <w:lang w:val="en-US" w:eastAsia="zh-CN" w:bidi="ar-SA"/>
              </w:rPr>
              <w:t>1</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1</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291"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42" w:type="pct"/>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color w:val="000000"/>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开展课题研究个数</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2个</w:t>
            </w:r>
          </w:p>
        </w:tc>
        <w:tc>
          <w:tcPr>
            <w:tcW w:w="444"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2个</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bidi="ar-SA"/>
              </w:rPr>
            </w:pPr>
            <w:r>
              <w:rPr>
                <w:rFonts w:hint="eastAsia" w:ascii="宋体" w:hAnsi="宋体" w:cs="宋体"/>
                <w:kern w:val="0"/>
                <w:sz w:val="18"/>
                <w:szCs w:val="18"/>
                <w:lang w:val="en-US" w:eastAsia="zh-CN" w:bidi="ar-SA"/>
              </w:rPr>
              <w:t>1</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1</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402"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42" w:type="pct"/>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color w:val="000000"/>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人才培养</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9人次</w:t>
            </w:r>
          </w:p>
        </w:tc>
        <w:tc>
          <w:tcPr>
            <w:tcW w:w="444"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9人次</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291"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c>
          <w:tcPr>
            <w:tcW w:w="1042" w:type="pct"/>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宋体" w:hAnsi="宋体" w:eastAsia="宋体" w:cs="宋体"/>
                <w:color w:val="000000"/>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建立研究模型个数</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2个</w:t>
            </w:r>
          </w:p>
        </w:tc>
        <w:tc>
          <w:tcPr>
            <w:tcW w:w="444"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2个</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bidi="ar-SA"/>
              </w:rPr>
            </w:pPr>
            <w:r>
              <w:rPr>
                <w:rFonts w:hint="eastAsia" w:ascii="宋体" w:hAnsi="宋体" w:cs="宋体"/>
                <w:kern w:val="0"/>
                <w:sz w:val="18"/>
                <w:szCs w:val="18"/>
                <w:lang w:val="en-US" w:eastAsia="zh-CN" w:bidi="ar-SA"/>
              </w:rPr>
              <w:t>1</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1</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3879"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c>
          <w:tcPr>
            <w:tcW w:w="1042" w:type="pct"/>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宋体" w:hAnsi="宋体" w:eastAsia="宋体" w:cs="宋体"/>
                <w:color w:val="000000"/>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论文发表</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29篇</w:t>
            </w:r>
          </w:p>
        </w:tc>
        <w:tc>
          <w:tcPr>
            <w:tcW w:w="444"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60篇</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2</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团队成员科研积极性增高，获批新的科研项目，因此发表论文数量超出预计值</w:t>
            </w:r>
          </w:p>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此外，</w:t>
            </w:r>
            <w:r>
              <w:rPr>
                <w:rFonts w:hint="eastAsia" w:ascii="宋体" w:hAnsi="宋体" w:cs="宋体"/>
                <w:kern w:val="0"/>
                <w:sz w:val="18"/>
                <w:szCs w:val="18"/>
              </w:rPr>
              <w:t>对发表论文数量预估不足。改进：对团队成员发表论文逐一分析统计。</w:t>
            </w:r>
          </w:p>
        </w:tc>
      </w:tr>
      <w:tr>
        <w:tblPrEx>
          <w:tblCellMar>
            <w:top w:w="0" w:type="dxa"/>
            <w:left w:w="108" w:type="dxa"/>
            <w:bottom w:w="0" w:type="dxa"/>
            <w:right w:w="108" w:type="dxa"/>
          </w:tblCellMar>
        </w:tblPrEx>
        <w:trPr>
          <w:trHeight w:val="2382"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c>
          <w:tcPr>
            <w:tcW w:w="1042" w:type="pct"/>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720" w:lineRule="auto"/>
              <w:jc w:val="center"/>
              <w:textAlignment w:val="bottom"/>
              <w:rPr>
                <w:rFonts w:hint="eastAsia" w:ascii="宋体" w:hAnsi="宋体" w:eastAsia="宋体" w:cs="宋体"/>
                <w:color w:val="000000"/>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学术交流</w:t>
            </w:r>
          </w:p>
        </w:tc>
        <w:tc>
          <w:tcPr>
            <w:tcW w:w="52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720" w:lineRule="auto"/>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9场次</w:t>
            </w:r>
          </w:p>
        </w:tc>
        <w:tc>
          <w:tcPr>
            <w:tcW w:w="444"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11场次</w:t>
            </w:r>
          </w:p>
        </w:tc>
        <w:tc>
          <w:tcPr>
            <w:tcW w:w="301" w:type="pct"/>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333"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738" w:type="pct"/>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疫情后学术交流地区限制解除，学术交流活动较以往明显增加</w:t>
            </w:r>
          </w:p>
        </w:tc>
      </w:tr>
      <w:tr>
        <w:tblPrEx>
          <w:tblCellMar>
            <w:top w:w="0" w:type="dxa"/>
            <w:left w:w="108" w:type="dxa"/>
            <w:bottom w:w="0" w:type="dxa"/>
            <w:right w:w="108" w:type="dxa"/>
          </w:tblCellMar>
        </w:tblPrEx>
        <w:trPr>
          <w:trHeight w:val="1803"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c>
          <w:tcPr>
            <w:tcW w:w="1042" w:type="pct"/>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line="360" w:lineRule="auto"/>
              <w:jc w:val="center"/>
              <w:textAlignment w:val="bottom"/>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申请专利</w:t>
            </w:r>
          </w:p>
        </w:tc>
        <w:tc>
          <w:tcPr>
            <w:tcW w:w="528"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line="360" w:lineRule="auto"/>
              <w:jc w:val="center"/>
              <w:textAlignment w:val="bottom"/>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11项</w:t>
            </w:r>
          </w:p>
        </w:tc>
        <w:tc>
          <w:tcPr>
            <w:tcW w:w="444" w:type="pct"/>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16项</w:t>
            </w:r>
          </w:p>
        </w:tc>
        <w:tc>
          <w:tcPr>
            <w:tcW w:w="301"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333" w:type="pct"/>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由于获批新的科研项目，团队成员新申请获批专利超出预计值</w:t>
            </w:r>
          </w:p>
        </w:tc>
      </w:tr>
      <w:tr>
        <w:tblPrEx>
          <w:tblCellMar>
            <w:top w:w="0" w:type="dxa"/>
            <w:left w:w="108" w:type="dxa"/>
            <w:bottom w:w="0" w:type="dxa"/>
            <w:right w:w="108" w:type="dxa"/>
          </w:tblCellMar>
        </w:tblPrEx>
        <w:trPr>
          <w:trHeight w:val="291"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c>
          <w:tcPr>
            <w:tcW w:w="1042" w:type="pct"/>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宋体" w:hAnsi="宋体" w:eastAsia="宋体" w:cs="宋体"/>
                <w:color w:val="000000"/>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调研</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1次</w:t>
            </w:r>
          </w:p>
        </w:tc>
        <w:tc>
          <w:tcPr>
            <w:tcW w:w="444"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1次</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664"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c>
          <w:tcPr>
            <w:tcW w:w="1042" w:type="pct"/>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宋体" w:hAnsi="宋体" w:eastAsia="宋体" w:cs="宋体"/>
                <w:color w:val="000000"/>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形成研究报告的份数</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10个</w:t>
            </w:r>
          </w:p>
        </w:tc>
        <w:tc>
          <w:tcPr>
            <w:tcW w:w="444"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10个</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bidi="ar-SA"/>
              </w:rPr>
            </w:pPr>
            <w:r>
              <w:rPr>
                <w:rFonts w:hint="eastAsia" w:ascii="宋体" w:hAnsi="宋体" w:cs="宋体"/>
                <w:kern w:val="0"/>
                <w:sz w:val="18"/>
                <w:szCs w:val="18"/>
                <w:lang w:val="en-US" w:eastAsia="zh-CN" w:bidi="ar-SA"/>
              </w:rPr>
              <w:t>1</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1</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1698"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c>
          <w:tcPr>
            <w:tcW w:w="1042" w:type="pct"/>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宋体" w:hAnsi="宋体" w:eastAsia="宋体" w:cs="宋体"/>
                <w:color w:val="000000"/>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开展培训</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79人次</w:t>
            </w:r>
          </w:p>
        </w:tc>
        <w:tc>
          <w:tcPr>
            <w:tcW w:w="444"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eastAsia="宋体" w:cs="宋体"/>
                <w:kern w:val="0"/>
                <w:sz w:val="18"/>
                <w:szCs w:val="18"/>
                <w:lang w:val="en-US" w:eastAsia="zh-CN" w:bidi="ar-SA"/>
              </w:rPr>
            </w:pPr>
            <w:r>
              <w:rPr>
                <w:rFonts w:hint="eastAsia" w:ascii="宋体" w:hAnsi="宋体" w:cs="宋体"/>
                <w:i w:val="0"/>
                <w:iCs w:val="0"/>
                <w:color w:val="000000"/>
                <w:kern w:val="0"/>
                <w:sz w:val="18"/>
                <w:szCs w:val="18"/>
                <w:highlight w:val="none"/>
                <w:u w:val="none"/>
                <w:lang w:val="en-US" w:eastAsia="zh-CN" w:bidi="ar"/>
              </w:rPr>
              <w:t>800人次</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2</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对培训的需求超过预期；</w:t>
            </w:r>
            <w:r>
              <w:rPr>
                <w:rFonts w:hint="eastAsia" w:ascii="宋体" w:hAnsi="宋体" w:cs="宋体"/>
                <w:kern w:val="0"/>
                <w:sz w:val="18"/>
                <w:szCs w:val="18"/>
                <w:lang w:val="en-US" w:eastAsia="zh-CN" w:bidi="ar-SA"/>
              </w:rPr>
              <w:t>此外，</w:t>
            </w:r>
            <w:r>
              <w:rPr>
                <w:rFonts w:hint="eastAsia" w:ascii="宋体" w:hAnsi="宋体" w:eastAsia="宋体" w:cs="宋体"/>
                <w:kern w:val="0"/>
                <w:sz w:val="18"/>
                <w:szCs w:val="18"/>
                <w:lang w:val="en-US" w:eastAsia="zh-CN" w:bidi="ar-SA"/>
              </w:rPr>
              <w:t>培训内容和方式吸引了更多人参加培训。</w:t>
            </w:r>
          </w:p>
        </w:tc>
      </w:tr>
      <w:tr>
        <w:tblPrEx>
          <w:tblCellMar>
            <w:top w:w="0" w:type="dxa"/>
            <w:left w:w="108" w:type="dxa"/>
            <w:bottom w:w="0" w:type="dxa"/>
            <w:right w:w="108" w:type="dxa"/>
          </w:tblCellMar>
        </w:tblPrEx>
        <w:trPr>
          <w:trHeight w:val="864"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c>
          <w:tcPr>
            <w:tcW w:w="1042" w:type="pct"/>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宋体" w:hAnsi="宋体" w:eastAsia="宋体" w:cs="宋体"/>
                <w:color w:val="000000"/>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精准诊断成果临床应用率</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444"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bidi="ar-SA"/>
              </w:rPr>
            </w:pPr>
            <w:r>
              <w:rPr>
                <w:rFonts w:hint="eastAsia" w:ascii="宋体" w:hAnsi="宋体" w:cs="宋体"/>
                <w:kern w:val="0"/>
                <w:sz w:val="18"/>
                <w:szCs w:val="18"/>
                <w:lang w:val="en-US" w:eastAsia="zh-CN" w:bidi="ar-SA"/>
              </w:rPr>
              <w:t>1</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1</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747"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质量指标</w:t>
            </w:r>
          </w:p>
          <w:p>
            <w:pPr>
              <w:widowControl/>
              <w:spacing w:line="240" w:lineRule="exact"/>
              <w:jc w:val="center"/>
              <w:rPr>
                <w:rFonts w:ascii="宋体" w:hAnsi="宋体" w:cs="宋体"/>
                <w:kern w:val="0"/>
                <w:sz w:val="18"/>
                <w:szCs w:val="18"/>
              </w:rPr>
            </w:pPr>
          </w:p>
        </w:tc>
        <w:tc>
          <w:tcPr>
            <w:tcW w:w="1042" w:type="pct"/>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color w:val="000000"/>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会议培训合格率</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80%</w:t>
            </w:r>
          </w:p>
        </w:tc>
        <w:tc>
          <w:tcPr>
            <w:tcW w:w="444"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95%</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1397"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42" w:type="pct"/>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color w:val="000000"/>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达到国外核心期刊论文达到sci水平或中文核心期刊论文标准/水平</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高中低</w:t>
            </w:r>
          </w:p>
        </w:tc>
        <w:tc>
          <w:tcPr>
            <w:tcW w:w="444" w:type="pc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高</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718"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42" w:type="pct"/>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color w:val="000000"/>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肺声音数据库成果临床应用率</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20%</w:t>
            </w:r>
          </w:p>
        </w:tc>
        <w:tc>
          <w:tcPr>
            <w:tcW w:w="444" w:type="pc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20%</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bidi="ar-SA"/>
              </w:rPr>
            </w:pPr>
            <w:r>
              <w:rPr>
                <w:rFonts w:hint="eastAsia" w:ascii="宋体" w:hAnsi="宋体" w:cs="宋体"/>
                <w:kern w:val="0"/>
                <w:sz w:val="18"/>
                <w:szCs w:val="18"/>
                <w:lang w:val="en-US" w:eastAsia="zh-CN" w:bidi="ar-SA"/>
              </w:rPr>
              <w:t>1</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1</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603"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时效指标</w:t>
            </w:r>
          </w:p>
          <w:p>
            <w:pPr>
              <w:widowControl/>
              <w:spacing w:line="240" w:lineRule="exact"/>
              <w:jc w:val="center"/>
              <w:rPr>
                <w:rFonts w:ascii="宋体" w:hAnsi="宋体" w:cs="宋体"/>
                <w:kern w:val="0"/>
                <w:sz w:val="18"/>
                <w:szCs w:val="18"/>
              </w:rPr>
            </w:pPr>
          </w:p>
        </w:tc>
        <w:tc>
          <w:tcPr>
            <w:tcW w:w="1042" w:type="pct"/>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color w:val="000000"/>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形成研究报告并验收</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12月</w:t>
            </w:r>
          </w:p>
        </w:tc>
        <w:tc>
          <w:tcPr>
            <w:tcW w:w="444"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12月</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823"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42" w:type="pct"/>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color w:val="000000"/>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完成方案制定和前期准备工作</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3月</w:t>
            </w:r>
          </w:p>
        </w:tc>
        <w:tc>
          <w:tcPr>
            <w:tcW w:w="444"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3月</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923"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42" w:type="pct"/>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宋体" w:hAnsi="宋体" w:eastAsia="宋体" w:cs="宋体"/>
                <w:color w:val="000000"/>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项目实施满意度调查及论文的撰写</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12月</w:t>
            </w:r>
          </w:p>
        </w:tc>
        <w:tc>
          <w:tcPr>
            <w:tcW w:w="444"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12月</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863"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42" w:type="pct"/>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color w:val="000000"/>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完成会议/培训/调研工作</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6月</w:t>
            </w:r>
          </w:p>
        </w:tc>
        <w:tc>
          <w:tcPr>
            <w:tcW w:w="444"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6月</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591"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成本指标</w:t>
            </w:r>
          </w:p>
        </w:tc>
        <w:tc>
          <w:tcPr>
            <w:tcW w:w="1042" w:type="pct"/>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color w:val="000000"/>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项目总预算</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357.59万元</w:t>
            </w:r>
          </w:p>
        </w:tc>
        <w:tc>
          <w:tcPr>
            <w:tcW w:w="444" w:type="pc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357.59万元</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bidi="ar-SA"/>
              </w:rPr>
            </w:pPr>
            <w:r>
              <w:rPr>
                <w:rFonts w:hint="eastAsia" w:ascii="宋体" w:hAnsi="宋体" w:cs="宋体"/>
                <w:kern w:val="0"/>
                <w:sz w:val="18"/>
                <w:szCs w:val="18"/>
                <w:lang w:val="en-US" w:eastAsia="zh-CN" w:bidi="ar-SA"/>
              </w:rPr>
              <w:t>5</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951"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rPr>
              <w:t>效益指标</w:t>
            </w:r>
          </w:p>
        </w:tc>
        <w:tc>
          <w:tcPr>
            <w:tcW w:w="709" w:type="pc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指标</w:t>
            </w:r>
          </w:p>
          <w:p>
            <w:pPr>
              <w:widowControl/>
              <w:spacing w:line="240" w:lineRule="exact"/>
              <w:jc w:val="center"/>
              <w:rPr>
                <w:rFonts w:ascii="宋体" w:hAnsi="宋体" w:cs="宋体"/>
                <w:kern w:val="0"/>
                <w:sz w:val="18"/>
                <w:szCs w:val="18"/>
              </w:rPr>
            </w:pPr>
          </w:p>
        </w:tc>
        <w:tc>
          <w:tcPr>
            <w:tcW w:w="1042" w:type="pct"/>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color w:val="000000"/>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对本团队医师及下级医院医师培训的影响</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高中低</w:t>
            </w:r>
          </w:p>
        </w:tc>
        <w:tc>
          <w:tcPr>
            <w:tcW w:w="444"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高</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627"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指标</w:t>
            </w:r>
          </w:p>
          <w:p>
            <w:pPr>
              <w:widowControl/>
              <w:spacing w:line="240" w:lineRule="exact"/>
              <w:jc w:val="center"/>
              <w:rPr>
                <w:rFonts w:ascii="宋体" w:hAnsi="宋体" w:cs="宋体"/>
                <w:kern w:val="0"/>
                <w:sz w:val="18"/>
                <w:szCs w:val="18"/>
              </w:rPr>
            </w:pPr>
          </w:p>
        </w:tc>
        <w:tc>
          <w:tcPr>
            <w:tcW w:w="1042" w:type="pct"/>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医院智能医疗体系建设的影响</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高中低</w:t>
            </w:r>
          </w:p>
        </w:tc>
        <w:tc>
          <w:tcPr>
            <w:tcW w:w="444"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高</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1203"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42" w:type="pct"/>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对本课题相关研究领域内的影响程度</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高中低</w:t>
            </w:r>
          </w:p>
        </w:tc>
        <w:tc>
          <w:tcPr>
            <w:tcW w:w="444" w:type="pc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中</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进一步加强骨科医生手术操作技术</w:t>
            </w:r>
          </w:p>
        </w:tc>
      </w:tr>
      <w:tr>
        <w:tblPrEx>
          <w:tblCellMar>
            <w:top w:w="0" w:type="dxa"/>
            <w:left w:w="108" w:type="dxa"/>
            <w:bottom w:w="0" w:type="dxa"/>
            <w:right w:w="108" w:type="dxa"/>
          </w:tblCellMar>
        </w:tblPrEx>
        <w:trPr>
          <w:trHeight w:val="784"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42" w:type="pct"/>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对本项目组组员及培训班成员的影响</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高中低</w:t>
            </w:r>
          </w:p>
        </w:tc>
        <w:tc>
          <w:tcPr>
            <w:tcW w:w="444"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高</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6507"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可持续影响指标</w:t>
            </w:r>
          </w:p>
        </w:tc>
        <w:tc>
          <w:tcPr>
            <w:tcW w:w="1042" w:type="pct"/>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color w:val="000000"/>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对本研究领域的可持续影响</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为老年髋部骨折患者围手术期下肢深静脉血栓的早期防治提供依据为老年髋部骨折患者围手术期下肢深静脉血栓的早期防治提供依据</w:t>
            </w:r>
          </w:p>
        </w:tc>
        <w:tc>
          <w:tcPr>
            <w:tcW w:w="444" w:type="pc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为老年髋部骨折患者围手术期下肢深静脉血栓的早期防治提供依据为老年髋部骨折患者围手术期下肢深静脉血栓的早期防治提供依据</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1</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1</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291"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rPr>
              <w:t>指标</w:t>
            </w:r>
            <w:bookmarkStart w:id="0" w:name="_GoBack"/>
            <w:bookmarkEnd w:id="0"/>
          </w:p>
        </w:tc>
        <w:tc>
          <w:tcPr>
            <w:tcW w:w="70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服务对象满意度指标</w:t>
            </w:r>
          </w:p>
          <w:p>
            <w:pPr>
              <w:widowControl/>
              <w:spacing w:line="240" w:lineRule="exact"/>
              <w:jc w:val="center"/>
              <w:rPr>
                <w:rFonts w:ascii="宋体" w:hAnsi="宋体" w:cs="宋体"/>
                <w:kern w:val="0"/>
                <w:sz w:val="18"/>
                <w:szCs w:val="18"/>
              </w:rPr>
            </w:pPr>
          </w:p>
        </w:tc>
        <w:tc>
          <w:tcPr>
            <w:tcW w:w="1042" w:type="pct"/>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color w:val="000000"/>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医务人员满意度</w:t>
            </w:r>
          </w:p>
        </w:tc>
        <w:tc>
          <w:tcPr>
            <w:tcW w:w="528"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90%</w:t>
            </w:r>
          </w:p>
        </w:tc>
        <w:tc>
          <w:tcPr>
            <w:tcW w:w="444"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90%</w:t>
            </w:r>
          </w:p>
        </w:tc>
        <w:tc>
          <w:tcPr>
            <w:tcW w:w="301"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w:t>
            </w:r>
          </w:p>
        </w:tc>
        <w:tc>
          <w:tcPr>
            <w:tcW w:w="333" w:type="pct"/>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579" w:hRule="exact"/>
          <w:jc w:val="center"/>
        </w:trPr>
        <w:tc>
          <w:tcPr>
            <w:tcW w:w="374"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8" w:type="pct"/>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42" w:type="pct"/>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color w:val="000000"/>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受训学员满意度</w:t>
            </w:r>
          </w:p>
        </w:tc>
        <w:tc>
          <w:tcPr>
            <w:tcW w:w="528"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70%</w:t>
            </w:r>
          </w:p>
        </w:tc>
        <w:tc>
          <w:tcPr>
            <w:tcW w:w="444"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bottom"/>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70%</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291" w:hRule="exact"/>
          <w:jc w:val="center"/>
        </w:trPr>
        <w:tc>
          <w:tcPr>
            <w:tcW w:w="3627" w:type="pct"/>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总分</w:t>
            </w:r>
          </w:p>
        </w:tc>
        <w:tc>
          <w:tcPr>
            <w:tcW w:w="301" w:type="pct"/>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100</w:t>
            </w:r>
          </w:p>
        </w:tc>
        <w:tc>
          <w:tcPr>
            <w:tcW w:w="333"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bidi="ar-SA"/>
              </w:rPr>
              <w:t>95</w:t>
            </w:r>
          </w:p>
        </w:tc>
        <w:tc>
          <w:tcPr>
            <w:tcW w:w="738" w:type="pct"/>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167401F"/>
    <w:rsid w:val="0FFA1E6E"/>
    <w:rsid w:val="10993435"/>
    <w:rsid w:val="149C63AB"/>
    <w:rsid w:val="1C46568C"/>
    <w:rsid w:val="1CAB4C1C"/>
    <w:rsid w:val="1D0205B4"/>
    <w:rsid w:val="28FF42C9"/>
    <w:rsid w:val="294837F2"/>
    <w:rsid w:val="3A704957"/>
    <w:rsid w:val="3EF142B8"/>
    <w:rsid w:val="3FC2611C"/>
    <w:rsid w:val="41961147"/>
    <w:rsid w:val="475E44B5"/>
    <w:rsid w:val="4FEA0F3E"/>
    <w:rsid w:val="564F5DD8"/>
    <w:rsid w:val="5F7F1015"/>
    <w:rsid w:val="60AA6951"/>
    <w:rsid w:val="63872CC8"/>
    <w:rsid w:val="649B5913"/>
    <w:rsid w:val="68703BF0"/>
    <w:rsid w:val="6E7838C8"/>
    <w:rsid w:val="6EC32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autoRedefine/>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111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csj</cp:lastModifiedBy>
  <dcterms:modified xsi:type="dcterms:W3CDTF">2024-05-10T02:45:16Z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F03ACE3CE6D146728D76A4A7EDF0ACF2_11</vt:lpwstr>
  </property>
</Properties>
</file>