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9554" w:type="dxa"/>
        <w:jc w:val="center"/>
        <w:tblLayout w:type="fixed"/>
        <w:tblCellMar>
          <w:top w:w="0" w:type="dxa"/>
          <w:left w:w="108" w:type="dxa"/>
          <w:bottom w:w="0" w:type="dxa"/>
          <w:right w:w="108" w:type="dxa"/>
        </w:tblCellMar>
      </w:tblPr>
      <w:tblGrid>
        <w:gridCol w:w="691"/>
        <w:gridCol w:w="963"/>
        <w:gridCol w:w="699"/>
        <w:gridCol w:w="1068"/>
        <w:gridCol w:w="633"/>
        <w:gridCol w:w="500"/>
        <w:gridCol w:w="1201"/>
        <w:gridCol w:w="979"/>
        <w:gridCol w:w="504"/>
        <w:gridCol w:w="636"/>
        <w:gridCol w:w="809"/>
        <w:gridCol w:w="871"/>
      </w:tblGrid>
      <w:tr>
        <w:tblPrEx>
          <w:tblCellMar>
            <w:top w:w="0" w:type="dxa"/>
            <w:left w:w="108" w:type="dxa"/>
            <w:bottom w:w="0" w:type="dxa"/>
            <w:right w:w="108" w:type="dxa"/>
          </w:tblCellMar>
        </w:tblPrEx>
        <w:trPr>
          <w:trHeight w:val="440" w:hRule="exact"/>
          <w:jc w:val="center"/>
        </w:trPr>
        <w:tc>
          <w:tcPr>
            <w:tcW w:w="9554" w:type="dxa"/>
            <w:gridSpan w:val="12"/>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554" w:type="dxa"/>
            <w:gridSpan w:val="12"/>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7900" w:type="dxa"/>
            <w:gridSpan w:val="10"/>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sz w:val="18"/>
                <w:szCs w:val="18"/>
              </w:rPr>
              <w:t>安贞医院开办费-临床教学设备购置</w:t>
            </w:r>
          </w:p>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29"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主管部门</w:t>
            </w:r>
          </w:p>
        </w:tc>
        <w:tc>
          <w:tcPr>
            <w:tcW w:w="4101" w:type="dxa"/>
            <w:gridSpan w:val="5"/>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color w:val="000000"/>
                <w:sz w:val="18"/>
                <w:szCs w:val="18"/>
              </w:rPr>
              <w:t>北京市医院管理中心</w:t>
            </w:r>
          </w:p>
        </w:tc>
        <w:tc>
          <w:tcPr>
            <w:tcW w:w="148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实施单位</w:t>
            </w:r>
          </w:p>
        </w:tc>
        <w:tc>
          <w:tcPr>
            <w:tcW w:w="2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首都医科大学附属北京安贞医院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项目负责人</w:t>
            </w:r>
          </w:p>
        </w:tc>
        <w:tc>
          <w:tcPr>
            <w:tcW w:w="410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陈立颖</w:t>
            </w:r>
          </w:p>
        </w:tc>
        <w:tc>
          <w:tcPr>
            <w:tcW w:w="148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2316"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84005410</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6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p>
        </w:tc>
        <w:tc>
          <w:tcPr>
            <w:tcW w:w="1133"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年初预算数</w:t>
            </w:r>
          </w:p>
        </w:tc>
        <w:tc>
          <w:tcPr>
            <w:tcW w:w="120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全年预算数</w:t>
            </w:r>
          </w:p>
        </w:tc>
        <w:tc>
          <w:tcPr>
            <w:tcW w:w="1483"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全年执行数</w:t>
            </w:r>
          </w:p>
        </w:tc>
        <w:tc>
          <w:tcPr>
            <w:tcW w:w="63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80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执行率</w:t>
            </w:r>
          </w:p>
        </w:tc>
        <w:tc>
          <w:tcPr>
            <w:tcW w:w="871"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588"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年度资金总额</w:t>
            </w:r>
          </w:p>
        </w:tc>
        <w:tc>
          <w:tcPr>
            <w:tcW w:w="113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0</w:t>
            </w:r>
          </w:p>
        </w:tc>
        <w:tc>
          <w:tcPr>
            <w:tcW w:w="120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color w:val="000000"/>
                <w:sz w:val="18"/>
                <w:szCs w:val="18"/>
              </w:rPr>
              <w:t>3784.1873</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sz w:val="18"/>
                <w:szCs w:val="18"/>
              </w:rPr>
              <w:t>600</w:t>
            </w:r>
          </w:p>
        </w:tc>
        <w:tc>
          <w:tcPr>
            <w:tcW w:w="63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80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cs="宋体"/>
                <w:color w:val="000000"/>
                <w:sz w:val="18"/>
                <w:szCs w:val="18"/>
                <w:lang w:val="en-US" w:eastAsia="zh-CN"/>
              </w:rPr>
              <w:t>98.3</w:t>
            </w:r>
            <w:r>
              <w:rPr>
                <w:rFonts w:hint="eastAsia" w:ascii="宋体" w:hAnsi="宋体" w:eastAsia="宋体" w:cs="宋体"/>
                <w:color w:val="000000"/>
                <w:sz w:val="18"/>
                <w:szCs w:val="18"/>
              </w:rPr>
              <w:t>6%</w:t>
            </w:r>
          </w:p>
        </w:tc>
        <w:tc>
          <w:tcPr>
            <w:tcW w:w="8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9.8</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0</w:t>
            </w:r>
          </w:p>
        </w:tc>
        <w:tc>
          <w:tcPr>
            <w:tcW w:w="120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color w:val="000000"/>
                <w:sz w:val="18"/>
                <w:szCs w:val="18"/>
              </w:rPr>
              <w:t>3784.1873</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color w:val="000000"/>
                <w:sz w:val="18"/>
                <w:szCs w:val="18"/>
              </w:rPr>
              <w:t>600</w:t>
            </w:r>
          </w:p>
        </w:tc>
        <w:tc>
          <w:tcPr>
            <w:tcW w:w="63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0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p>
        </w:tc>
        <w:tc>
          <w:tcPr>
            <w:tcW w:w="8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p>
        </w:tc>
        <w:tc>
          <w:tcPr>
            <w:tcW w:w="120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p>
        </w:tc>
        <w:tc>
          <w:tcPr>
            <w:tcW w:w="63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0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p>
        </w:tc>
        <w:tc>
          <w:tcPr>
            <w:tcW w:w="8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20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483"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3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80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871"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年度总体目标</w:t>
            </w:r>
          </w:p>
        </w:tc>
        <w:tc>
          <w:tcPr>
            <w:tcW w:w="506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预期目标</w:t>
            </w:r>
          </w:p>
        </w:tc>
        <w:tc>
          <w:tcPr>
            <w:tcW w:w="3799"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3236" w:hRule="exact"/>
          <w:jc w:val="center"/>
        </w:trPr>
        <w:tc>
          <w:tcPr>
            <w:tcW w:w="69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5064"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此项目将通过4年执行，通过通州院区教学楼的建设并购置临床教学设备及办公和宿舍相关家具设备，完善医院教学楼设施及临床教学设备体系建设，完善学生住宿条件设施，保障教学计划的正常实施，并为学生提供一个安全舒适的居住、学习环境。此项目财政拨款3784.18万元，分4个年度进行安排，2024年申请1892.09万元，2025年申请1702.88万元，2026年申请189.21万元，具体设备申报清单如下：一、教学设备 801994万元；二、多媒体设备 2735320万元；三、中控设备 1615026.5万元；四、公共设施电器 180676万元；五、教学楼窗帘 250088.5万元；六、教学楼家具 4783078万元；七、教学楼空调 1302900万元；八、教学楼医疗教学设备 25050090万元；九、智慧公寓管理系统 1122700万元</w:t>
            </w:r>
          </w:p>
        </w:tc>
        <w:tc>
          <w:tcPr>
            <w:tcW w:w="3799"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rPr>
              <w:t>购置临床教学设备及办公和宿舍相关家具设备，完善医院教学楼设施及临床教学设备体系建设，完善学生住宿条件设施，保障教学计划的正常实施，并为学生提供一个安全舒适的居住、学习环境。此项目23年12月完成部分项目招投标、合同签订及首款支付，共计600万元，12月底财政追加31</w:t>
            </w:r>
            <w:r>
              <w:rPr>
                <w:rFonts w:hint="eastAsia" w:ascii="宋体" w:hAnsi="宋体" w:eastAsia="宋体" w:cs="宋体"/>
                <w:color w:val="000000"/>
                <w:sz w:val="18"/>
                <w:szCs w:val="18"/>
              </w:rPr>
              <w:t>84.1873</w:t>
            </w:r>
            <w:r>
              <w:rPr>
                <w:rFonts w:hint="eastAsia" w:ascii="宋体" w:hAnsi="宋体" w:eastAsia="宋体" w:cs="宋体"/>
                <w:kern w:val="0"/>
                <w:sz w:val="18"/>
                <w:szCs w:val="18"/>
              </w:rPr>
              <w:t>万元，该部分内容于24年4月前完成招投标、合同签订及款项支付。本项目招投标过程中，采购结余62.237235万元。</w:t>
            </w:r>
          </w:p>
        </w:tc>
      </w:tr>
      <w:tr>
        <w:tblPrEx>
          <w:tblCellMar>
            <w:top w:w="0" w:type="dxa"/>
            <w:left w:w="108" w:type="dxa"/>
            <w:bottom w:w="0" w:type="dxa"/>
            <w:right w:w="108" w:type="dxa"/>
          </w:tblCellMar>
        </w:tblPrEx>
        <w:trPr>
          <w:trHeight w:val="517" w:hRule="exact"/>
          <w:jc w:val="center"/>
        </w:trPr>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p>
            <w:pPr>
              <w:widowControl/>
              <w:spacing w:line="240" w:lineRule="exact"/>
              <w:jc w:val="center"/>
              <w:rPr>
                <w:rFonts w:hint="eastAsia" w:ascii="宋体" w:hAnsi="宋体" w:eastAsia="宋体" w:cs="宋体"/>
                <w:kern w:val="0"/>
                <w:sz w:val="18"/>
                <w:szCs w:val="18"/>
              </w:rPr>
            </w:pPr>
          </w:p>
        </w:tc>
        <w:tc>
          <w:tcPr>
            <w:tcW w:w="963"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一级指标</w:t>
            </w:r>
          </w:p>
        </w:tc>
        <w:tc>
          <w:tcPr>
            <w:tcW w:w="69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w:t>
            </w:r>
          </w:p>
        </w:tc>
        <w:tc>
          <w:tcPr>
            <w:tcW w:w="9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完成值</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496"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产出指标</w:t>
            </w: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购置临床教学设备数量</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7205</w:t>
            </w:r>
          </w:p>
        </w:tc>
        <w:tc>
          <w:tcPr>
            <w:tcW w:w="9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7205</w:t>
            </w:r>
          </w:p>
        </w:tc>
        <w:tc>
          <w:tcPr>
            <w:tcW w:w="50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sz w:val="18"/>
                <w:szCs w:val="18"/>
              </w:rPr>
              <w:t>10</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60"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质量指标</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设备质量</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达到合格标准和参数</w:t>
            </w:r>
          </w:p>
        </w:tc>
        <w:tc>
          <w:tcPr>
            <w:tcW w:w="9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合格</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45"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设备验收合格率</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验收，合格率100%</w:t>
            </w:r>
          </w:p>
        </w:tc>
        <w:tc>
          <w:tcPr>
            <w:tcW w:w="9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合格率100%</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910"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时效指标</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完成招标工作及签订合同</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24年7月底前</w:t>
            </w:r>
          </w:p>
        </w:tc>
        <w:tc>
          <w:tcPr>
            <w:tcW w:w="979" w:type="dxa"/>
            <w:tcBorders>
              <w:top w:val="single" w:color="auto" w:sz="4" w:space="0"/>
              <w:left w:val="nil"/>
              <w:bottom w:val="single" w:color="auto" w:sz="4" w:space="0"/>
              <w:right w:val="single" w:color="auto" w:sz="4" w:space="0"/>
            </w:tcBorders>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23年12月、24年3月</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24"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设备采购到位、安装、试运行、培训</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24年9月底前</w:t>
            </w:r>
          </w:p>
        </w:tc>
        <w:tc>
          <w:tcPr>
            <w:tcW w:w="979" w:type="dxa"/>
            <w:tcBorders>
              <w:top w:val="single" w:color="auto" w:sz="4" w:space="0"/>
              <w:left w:val="nil"/>
              <w:bottom w:val="single" w:color="auto" w:sz="4" w:space="0"/>
              <w:right w:val="single" w:color="auto" w:sz="4" w:space="0"/>
            </w:tcBorders>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23年12月、24年4月</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68"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完成项目验收</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24年12月底前</w:t>
            </w:r>
          </w:p>
        </w:tc>
        <w:tc>
          <w:tcPr>
            <w:tcW w:w="979" w:type="dxa"/>
            <w:tcBorders>
              <w:top w:val="single" w:color="auto" w:sz="4" w:space="0"/>
              <w:left w:val="nil"/>
              <w:bottom w:val="single" w:color="auto" w:sz="4" w:space="0"/>
              <w:right w:val="single" w:color="auto" w:sz="4" w:space="0"/>
            </w:tcBorders>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23年12月、24年4月</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662"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项目预算控制数</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3784.1873万元</w:t>
            </w:r>
          </w:p>
        </w:tc>
        <w:tc>
          <w:tcPr>
            <w:tcW w:w="97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kern w:val="0"/>
                <w:sz w:val="18"/>
                <w:szCs w:val="18"/>
              </w:rPr>
            </w:pPr>
            <w:r>
              <w:rPr>
                <w:rFonts w:hint="eastAsia" w:ascii="宋体" w:hAnsi="宋体" w:eastAsia="宋体" w:cs="宋体"/>
                <w:color w:val="000000"/>
                <w:sz w:val="18"/>
                <w:szCs w:val="18"/>
              </w:rPr>
              <w:t>3721.950065</w:t>
            </w:r>
            <w:r>
              <w:rPr>
                <w:rFonts w:hint="eastAsia" w:ascii="宋体" w:hAnsi="宋体" w:eastAsia="宋体" w:cs="宋体"/>
                <w:kern w:val="0"/>
                <w:sz w:val="18"/>
                <w:szCs w:val="18"/>
              </w:rPr>
              <w:t>万元</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both"/>
              <w:rPr>
                <w:rFonts w:hint="eastAsia" w:ascii="宋体" w:hAnsi="宋体" w:eastAsia="宋体" w:cs="宋体"/>
                <w:kern w:val="0"/>
                <w:sz w:val="18"/>
                <w:szCs w:val="18"/>
              </w:rPr>
            </w:pPr>
            <w:r>
              <w:rPr>
                <w:rFonts w:hint="eastAsia" w:ascii="宋体" w:hAnsi="宋体" w:cs="宋体"/>
                <w:kern w:val="0"/>
                <w:sz w:val="18"/>
                <w:szCs w:val="18"/>
                <w:lang w:val="en-US" w:eastAsia="zh-CN"/>
              </w:rPr>
              <w:t>截至2024年4月支出</w:t>
            </w:r>
            <w:bookmarkStart w:id="0" w:name="_GoBack"/>
            <w:bookmarkEnd w:id="0"/>
          </w:p>
        </w:tc>
      </w:tr>
      <w:tr>
        <w:tblPrEx>
          <w:tblCellMar>
            <w:top w:w="0" w:type="dxa"/>
            <w:left w:w="108" w:type="dxa"/>
            <w:bottom w:w="0" w:type="dxa"/>
            <w:right w:w="108" w:type="dxa"/>
          </w:tblCellMar>
        </w:tblPrEx>
        <w:trPr>
          <w:trHeight w:val="1005"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效益指标</w:t>
            </w:r>
          </w:p>
        </w:tc>
        <w:tc>
          <w:tcPr>
            <w:tcW w:w="6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sz w:val="18"/>
                <w:szCs w:val="18"/>
              </w:rPr>
              <w:t>教学工作正常运转方面，为医院教学提供强有力的硬件条件保障方面</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sz w:val="18"/>
                <w:szCs w:val="18"/>
              </w:rPr>
            </w:pPr>
            <w:r>
              <w:rPr>
                <w:rFonts w:hint="eastAsia" w:ascii="宋体" w:hAnsi="宋体" w:eastAsia="宋体" w:cs="宋体"/>
                <w:sz w:val="18"/>
                <w:szCs w:val="18"/>
              </w:rPr>
              <w:t>满足各类学生能力提升需求</w:t>
            </w:r>
          </w:p>
        </w:tc>
        <w:tc>
          <w:tcPr>
            <w:tcW w:w="9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sz w:val="18"/>
                <w:szCs w:val="18"/>
              </w:rPr>
            </w:pPr>
            <w:r>
              <w:rPr>
                <w:rFonts w:hint="eastAsia" w:ascii="宋体" w:hAnsi="宋体" w:eastAsia="宋体" w:cs="宋体"/>
                <w:sz w:val="18"/>
                <w:szCs w:val="18"/>
              </w:rPr>
              <w:t>满足教学需求</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860"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sz w:val="18"/>
                <w:szCs w:val="18"/>
              </w:rPr>
              <w:t>设备购置在教学、科研中提供服务，提升教学质量</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sz w:val="18"/>
                <w:szCs w:val="18"/>
              </w:rPr>
            </w:pPr>
            <w:r>
              <w:rPr>
                <w:rFonts w:hint="eastAsia" w:ascii="宋体" w:hAnsi="宋体" w:eastAsia="宋体" w:cs="宋体"/>
                <w:sz w:val="18"/>
                <w:szCs w:val="18"/>
              </w:rPr>
              <w:t>有效提升服务质量</w:t>
            </w:r>
          </w:p>
        </w:tc>
        <w:tc>
          <w:tcPr>
            <w:tcW w:w="9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sz w:val="18"/>
                <w:szCs w:val="18"/>
              </w:rPr>
            </w:pPr>
            <w:r>
              <w:rPr>
                <w:rFonts w:hint="eastAsia" w:ascii="宋体" w:hAnsi="宋体" w:eastAsia="宋体" w:cs="宋体"/>
                <w:sz w:val="18"/>
                <w:szCs w:val="18"/>
              </w:rPr>
              <w:t>有效提升教学质量</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989" w:hRule="exact"/>
          <w:jc w:val="center"/>
        </w:trPr>
        <w:tc>
          <w:tcPr>
            <w:tcW w:w="691" w:type="dxa"/>
            <w:vMerge w:val="continue"/>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6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701"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设备在一定时期内持续发挥其作用，完善教学和可研的需要方面</w:t>
            </w:r>
          </w:p>
        </w:tc>
        <w:tc>
          <w:tcPr>
            <w:tcW w:w="1701" w:type="dxa"/>
            <w:gridSpan w:val="2"/>
            <w:tcBorders>
              <w:top w:val="single" w:color="auto" w:sz="4" w:space="0"/>
              <w:left w:val="nil"/>
              <w:bottom w:val="single" w:color="auto" w:sz="4" w:space="0"/>
              <w:right w:val="single" w:color="auto" w:sz="4" w:space="0"/>
            </w:tcBorders>
            <w:vAlign w:val="center"/>
          </w:tcPr>
          <w:p>
            <w:pPr>
              <w:widowControl/>
              <w:spacing w:line="20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设备持续发挥的作用年限为6年，完善临床教学体系，满足教育的需求</w:t>
            </w:r>
          </w:p>
        </w:tc>
        <w:tc>
          <w:tcPr>
            <w:tcW w:w="97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color w:val="000000"/>
                <w:kern w:val="0"/>
                <w:sz w:val="18"/>
                <w:szCs w:val="18"/>
              </w:rPr>
              <w:t>满足教育的需求</w:t>
            </w:r>
          </w:p>
        </w:tc>
        <w:tc>
          <w:tcPr>
            <w:tcW w:w="504"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63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999" w:hRule="exact"/>
          <w:jc w:val="center"/>
        </w:trPr>
        <w:tc>
          <w:tcPr>
            <w:tcW w:w="691"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69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01" w:type="dxa"/>
            <w:gridSpan w:val="2"/>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教员满意度、医学学生满意度</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≥95%</w:t>
            </w:r>
          </w:p>
        </w:tc>
        <w:tc>
          <w:tcPr>
            <w:tcW w:w="97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95%</w:t>
            </w:r>
          </w:p>
        </w:tc>
        <w:tc>
          <w:tcPr>
            <w:tcW w:w="50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63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4.5</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采购参数符合要求待开业后预计满意度95%以上</w:t>
            </w:r>
          </w:p>
        </w:tc>
      </w:tr>
      <w:tr>
        <w:tblPrEx>
          <w:tblCellMar>
            <w:top w:w="0" w:type="dxa"/>
            <w:left w:w="108" w:type="dxa"/>
            <w:bottom w:w="0" w:type="dxa"/>
            <w:right w:w="108" w:type="dxa"/>
          </w:tblCellMar>
        </w:tblPrEx>
        <w:trPr>
          <w:trHeight w:val="291" w:hRule="exact"/>
          <w:jc w:val="center"/>
        </w:trPr>
        <w:tc>
          <w:tcPr>
            <w:tcW w:w="6734"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04"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63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9</w:t>
            </w:r>
            <w:r>
              <w:rPr>
                <w:rFonts w:hint="eastAsia" w:ascii="宋体" w:hAnsi="宋体" w:cs="宋体"/>
                <w:color w:val="000000"/>
                <w:kern w:val="0"/>
                <w:sz w:val="18"/>
                <w:szCs w:val="18"/>
                <w:lang w:val="en-US" w:eastAsia="zh-CN"/>
              </w:rPr>
              <w:t>9.3</w:t>
            </w:r>
          </w:p>
        </w:tc>
        <w:tc>
          <w:tcPr>
            <w:tcW w:w="168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xNzAzZTU5NzIxOWNiNDQ1ZjBlMTdjZjQ4M2JiMjMifQ=="/>
  </w:docVars>
  <w:rsids>
    <w:rsidRoot w:val="28FF42C9"/>
    <w:rsid w:val="000853B6"/>
    <w:rsid w:val="000E3588"/>
    <w:rsid w:val="00101F0D"/>
    <w:rsid w:val="0019368A"/>
    <w:rsid w:val="002D654E"/>
    <w:rsid w:val="00462BE3"/>
    <w:rsid w:val="004A57B3"/>
    <w:rsid w:val="00566A73"/>
    <w:rsid w:val="00684638"/>
    <w:rsid w:val="006E7F0E"/>
    <w:rsid w:val="007A4D7C"/>
    <w:rsid w:val="007E2AF7"/>
    <w:rsid w:val="00846C9D"/>
    <w:rsid w:val="008D1846"/>
    <w:rsid w:val="008D3376"/>
    <w:rsid w:val="00902337"/>
    <w:rsid w:val="009441D3"/>
    <w:rsid w:val="009700F6"/>
    <w:rsid w:val="00A1514B"/>
    <w:rsid w:val="00AD0FC0"/>
    <w:rsid w:val="00B34774"/>
    <w:rsid w:val="00B475D2"/>
    <w:rsid w:val="00B80A4A"/>
    <w:rsid w:val="00CE5F8E"/>
    <w:rsid w:val="00D70CF8"/>
    <w:rsid w:val="00DA53D8"/>
    <w:rsid w:val="00E66BBE"/>
    <w:rsid w:val="00E71DF8"/>
    <w:rsid w:val="00E97800"/>
    <w:rsid w:val="00F45C05"/>
    <w:rsid w:val="00F90F22"/>
    <w:rsid w:val="00FD53C2"/>
    <w:rsid w:val="00FF20AA"/>
    <w:rsid w:val="00FF44EB"/>
    <w:rsid w:val="0167401F"/>
    <w:rsid w:val="1C46568C"/>
    <w:rsid w:val="28FF42C9"/>
    <w:rsid w:val="4B604D4C"/>
    <w:rsid w:val="63872CC8"/>
    <w:rsid w:val="6E7838C8"/>
    <w:rsid w:val="7B391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autoRedefine/>
    <w:qFormat/>
    <w:uiPriority w:val="0"/>
    <w:pPr>
      <w:tabs>
        <w:tab w:val="center" w:pos="4153"/>
        <w:tab w:val="right" w:pos="8306"/>
      </w:tabs>
      <w:snapToGrid w:val="0"/>
      <w:jc w:val="center"/>
    </w:pPr>
    <w:rPr>
      <w:sz w:val="18"/>
      <w:szCs w:val="18"/>
    </w:rPr>
  </w:style>
  <w:style w:type="paragraph" w:styleId="6">
    <w:name w:val="Normal (Web)"/>
    <w:basedOn w:val="1"/>
    <w:uiPriority w:val="0"/>
    <w:pPr>
      <w:spacing w:beforeAutospacing="1" w:afterAutospacing="1"/>
      <w:jc w:val="left"/>
    </w:pPr>
    <w:rPr>
      <w:kern w:val="0"/>
      <w:sz w:val="24"/>
    </w:rPr>
  </w:style>
  <w:style w:type="character" w:customStyle="1" w:styleId="9">
    <w:name w:val="页眉 字符"/>
    <w:basedOn w:val="8"/>
    <w:link w:val="5"/>
    <w:autoRedefine/>
    <w:qFormat/>
    <w:uiPriority w:val="0"/>
    <w:rPr>
      <w:kern w:val="2"/>
      <w:sz w:val="18"/>
      <w:szCs w:val="18"/>
    </w:rPr>
  </w:style>
  <w:style w:type="character" w:customStyle="1" w:styleId="10">
    <w:name w:val="页脚 字符"/>
    <w:basedOn w:val="8"/>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231</Words>
  <Characters>1320</Characters>
  <Lines>11</Lines>
  <Paragraphs>3</Paragraphs>
  <TotalTime>86</TotalTime>
  <ScaleCrop>false</ScaleCrop>
  <LinksUpToDate>false</LinksUpToDate>
  <CharactersWithSpaces>1548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csj</cp:lastModifiedBy>
  <dcterms:modified xsi:type="dcterms:W3CDTF">2024-05-09T08:04:59Z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