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560" w:lineRule="exact"/>
        <w:jc w:val="left"/>
        <w:rPr>
          <w:rFonts w:ascii="黑体" w:hAnsi="黑体" w:eastAsia="黑体"/>
          <w:sz w:val="32"/>
          <w:szCs w:val="32"/>
        </w:rPr>
      </w:pPr>
      <w:r>
        <w:rPr>
          <w:rFonts w:hint="eastAsia" w:ascii="黑体" w:hAnsi="黑体" w:eastAsia="黑体"/>
          <w:sz w:val="32"/>
          <w:szCs w:val="32"/>
        </w:rPr>
        <w:t>附件2</w:t>
      </w:r>
    </w:p>
    <w:tbl>
      <w:tblPr>
        <w:tblStyle w:val="5"/>
        <w:tblW w:w="8949" w:type="dxa"/>
        <w:jc w:val="center"/>
        <w:tblLayout w:type="fixed"/>
        <w:tblCellMar>
          <w:top w:w="0" w:type="dxa"/>
          <w:left w:w="108" w:type="dxa"/>
          <w:bottom w:w="0" w:type="dxa"/>
          <w:right w:w="108" w:type="dxa"/>
        </w:tblCellMar>
      </w:tblPr>
      <w:tblGrid>
        <w:gridCol w:w="669"/>
        <w:gridCol w:w="934"/>
        <w:gridCol w:w="1058"/>
        <w:gridCol w:w="655"/>
        <w:gridCol w:w="1098"/>
        <w:gridCol w:w="293"/>
        <w:gridCol w:w="832"/>
        <w:gridCol w:w="794"/>
        <w:gridCol w:w="446"/>
        <w:gridCol w:w="94"/>
        <w:gridCol w:w="643"/>
        <w:gridCol w:w="789"/>
        <w:gridCol w:w="644"/>
      </w:tblGrid>
      <w:tr>
        <w:tblPrEx>
          <w:tblCellMar>
            <w:top w:w="0" w:type="dxa"/>
            <w:left w:w="108" w:type="dxa"/>
            <w:bottom w:w="0" w:type="dxa"/>
            <w:right w:w="108" w:type="dxa"/>
          </w:tblCellMar>
        </w:tblPrEx>
        <w:trPr>
          <w:trHeight w:val="493" w:hRule="exact"/>
          <w:jc w:val="center"/>
        </w:trPr>
        <w:tc>
          <w:tcPr>
            <w:tcW w:w="8949" w:type="dxa"/>
            <w:gridSpan w:val="13"/>
            <w:tcBorders>
              <w:top w:val="nil"/>
              <w:left w:val="nil"/>
              <w:bottom w:val="nil"/>
              <w:right w:val="nil"/>
            </w:tcBorders>
            <w:vAlign w:val="center"/>
          </w:tcPr>
          <w:p>
            <w:pPr>
              <w:widowControl w:val="0"/>
              <w:spacing w:line="560" w:lineRule="exact"/>
              <w:rPr>
                <w:rFonts w:ascii="黑体" w:hAnsi="黑体" w:eastAsia="黑体"/>
                <w:sz w:val="32"/>
                <w:szCs w:val="32"/>
              </w:rPr>
            </w:pPr>
            <w:r>
              <w:rPr>
                <w:rFonts w:hint="eastAsia" w:ascii="黑体" w:hAnsi="黑体" w:eastAsia="黑体"/>
                <w:sz w:val="32"/>
                <w:szCs w:val="32"/>
              </w:rPr>
              <w:t>项目支出绩效自评表</w:t>
            </w:r>
          </w:p>
        </w:tc>
      </w:tr>
      <w:tr>
        <w:tblPrEx>
          <w:tblCellMar>
            <w:top w:w="0" w:type="dxa"/>
            <w:left w:w="108" w:type="dxa"/>
            <w:bottom w:w="0" w:type="dxa"/>
            <w:right w:w="108" w:type="dxa"/>
          </w:tblCellMar>
        </w:tblPrEx>
        <w:trPr>
          <w:trHeight w:val="217" w:hRule="atLeast"/>
          <w:jc w:val="center"/>
        </w:trPr>
        <w:tc>
          <w:tcPr>
            <w:tcW w:w="8949" w:type="dxa"/>
            <w:gridSpan w:val="13"/>
            <w:tcBorders>
              <w:top w:val="nil"/>
              <w:left w:val="nil"/>
              <w:bottom w:val="nil"/>
              <w:right w:val="nil"/>
            </w:tcBorders>
          </w:tcPr>
          <w:p>
            <w:r>
              <w:rPr>
                <w:rFonts w:hint="eastAsia"/>
              </w:rPr>
              <w:t>（2023年度）</w:t>
            </w:r>
          </w:p>
        </w:tc>
      </w:tr>
      <w:tr>
        <w:tblPrEx>
          <w:tblCellMar>
            <w:top w:w="0" w:type="dxa"/>
            <w:left w:w="108" w:type="dxa"/>
            <w:bottom w:w="0" w:type="dxa"/>
            <w:right w:w="108" w:type="dxa"/>
          </w:tblCellMar>
        </w:tblPrEx>
        <w:trPr>
          <w:trHeight w:val="326" w:hRule="exact"/>
          <w:jc w:val="center"/>
        </w:trPr>
        <w:tc>
          <w:tcPr>
            <w:tcW w:w="1603"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项目名称</w:t>
            </w:r>
          </w:p>
        </w:tc>
        <w:tc>
          <w:tcPr>
            <w:tcW w:w="7346" w:type="dxa"/>
            <w:gridSpan w:val="11"/>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安贞医院中央转移支付重大传染病防控</w:t>
            </w:r>
          </w:p>
        </w:tc>
      </w:tr>
      <w:tr>
        <w:tblPrEx>
          <w:tblCellMar>
            <w:top w:w="0" w:type="dxa"/>
            <w:left w:w="108" w:type="dxa"/>
            <w:bottom w:w="0" w:type="dxa"/>
            <w:right w:w="108" w:type="dxa"/>
          </w:tblCellMar>
        </w:tblPrEx>
        <w:trPr>
          <w:trHeight w:val="586" w:hRule="exact"/>
          <w:jc w:val="center"/>
        </w:trPr>
        <w:tc>
          <w:tcPr>
            <w:tcW w:w="1603"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主管部门</w:t>
            </w:r>
          </w:p>
        </w:tc>
        <w:tc>
          <w:tcPr>
            <w:tcW w:w="3936" w:type="dxa"/>
            <w:gridSpan w:val="5"/>
            <w:tcBorders>
              <w:top w:val="single" w:color="auto" w:sz="4" w:space="0"/>
              <w:left w:val="nil"/>
              <w:bottom w:val="single" w:color="auto" w:sz="4" w:space="0"/>
              <w:right w:val="single" w:color="auto" w:sz="4" w:space="0"/>
            </w:tcBorders>
            <w:vAlign w:val="center"/>
          </w:tcPr>
          <w:p>
            <w:pPr>
              <w:rPr>
                <w:rFonts w:hint="eastAsia" w:ascii="宋体" w:hAnsi="宋体" w:eastAsia="宋体" w:cs="宋体"/>
                <w:kern w:val="0"/>
                <w:sz w:val="18"/>
                <w:szCs w:val="18"/>
              </w:rPr>
            </w:pPr>
            <w:r>
              <w:rPr>
                <w:rFonts w:hint="eastAsia" w:ascii="宋体" w:hAnsi="宋体" w:eastAsia="宋体" w:cs="宋体"/>
                <w:sz w:val="18"/>
                <w:szCs w:val="18"/>
              </w:rPr>
              <w:t>北京市医院管</w:t>
            </w:r>
            <w:bookmarkStart w:id="0" w:name="_GoBack"/>
            <w:bookmarkEnd w:id="0"/>
            <w:r>
              <w:rPr>
                <w:rFonts w:hint="eastAsia" w:ascii="宋体" w:hAnsi="宋体" w:eastAsia="宋体" w:cs="宋体"/>
                <w:sz w:val="18"/>
                <w:szCs w:val="18"/>
              </w:rPr>
              <w:t>理中心</w:t>
            </w:r>
          </w:p>
        </w:tc>
        <w:tc>
          <w:tcPr>
            <w:tcW w:w="1240" w:type="dxa"/>
            <w:gridSpan w:val="2"/>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实施单位</w:t>
            </w:r>
          </w:p>
        </w:tc>
        <w:tc>
          <w:tcPr>
            <w:tcW w:w="2170" w:type="dxa"/>
            <w:gridSpan w:val="4"/>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首都医科大学附属北京安贞医院</w:t>
            </w:r>
          </w:p>
        </w:tc>
      </w:tr>
      <w:tr>
        <w:tblPrEx>
          <w:tblCellMar>
            <w:top w:w="0" w:type="dxa"/>
            <w:left w:w="108" w:type="dxa"/>
            <w:bottom w:w="0" w:type="dxa"/>
            <w:right w:w="108" w:type="dxa"/>
          </w:tblCellMar>
        </w:tblPrEx>
        <w:trPr>
          <w:trHeight w:val="326" w:hRule="exact"/>
          <w:jc w:val="center"/>
        </w:trPr>
        <w:tc>
          <w:tcPr>
            <w:tcW w:w="1603"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项目负责人</w:t>
            </w:r>
          </w:p>
        </w:tc>
        <w:tc>
          <w:tcPr>
            <w:tcW w:w="3936" w:type="dxa"/>
            <w:gridSpan w:val="5"/>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陈立颖</w:t>
            </w:r>
          </w:p>
        </w:tc>
        <w:tc>
          <w:tcPr>
            <w:tcW w:w="1240" w:type="dxa"/>
            <w:gridSpan w:val="2"/>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联系电话</w:t>
            </w:r>
          </w:p>
        </w:tc>
        <w:tc>
          <w:tcPr>
            <w:tcW w:w="2170" w:type="dxa"/>
            <w:gridSpan w:val="4"/>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84005410</w:t>
            </w:r>
          </w:p>
        </w:tc>
      </w:tr>
      <w:tr>
        <w:tblPrEx>
          <w:tblCellMar>
            <w:top w:w="0" w:type="dxa"/>
            <w:left w:w="108" w:type="dxa"/>
            <w:bottom w:w="0" w:type="dxa"/>
            <w:right w:w="108" w:type="dxa"/>
          </w:tblCellMar>
        </w:tblPrEx>
        <w:trPr>
          <w:trHeight w:val="721" w:hRule="exact"/>
          <w:jc w:val="center"/>
        </w:trPr>
        <w:tc>
          <w:tcPr>
            <w:tcW w:w="1603" w:type="dxa"/>
            <w:gridSpan w:val="2"/>
            <w:vMerge w:val="restart"/>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项目资金</w:t>
            </w:r>
            <w:r>
              <w:rPr>
                <w:rFonts w:hint="eastAsia" w:ascii="宋体" w:hAnsi="宋体" w:eastAsia="宋体" w:cs="宋体"/>
                <w:sz w:val="18"/>
                <w:szCs w:val="18"/>
              </w:rPr>
              <w:br w:type="textWrapping"/>
            </w:r>
            <w:r>
              <w:rPr>
                <w:rFonts w:hint="eastAsia" w:ascii="宋体" w:hAnsi="宋体" w:eastAsia="宋体" w:cs="宋体"/>
                <w:sz w:val="18"/>
                <w:szCs w:val="18"/>
              </w:rPr>
              <w:t>（万元）</w:t>
            </w:r>
          </w:p>
        </w:tc>
        <w:tc>
          <w:tcPr>
            <w:tcW w:w="1713" w:type="dxa"/>
            <w:gridSpan w:val="2"/>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p>
        </w:tc>
        <w:tc>
          <w:tcPr>
            <w:tcW w:w="1098" w:type="dxa"/>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年初预算数</w:t>
            </w:r>
          </w:p>
        </w:tc>
        <w:tc>
          <w:tcPr>
            <w:tcW w:w="1125" w:type="dxa"/>
            <w:gridSpan w:val="2"/>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全年预算数</w:t>
            </w:r>
          </w:p>
        </w:tc>
        <w:tc>
          <w:tcPr>
            <w:tcW w:w="1240" w:type="dxa"/>
            <w:gridSpan w:val="2"/>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全年执行数</w:t>
            </w:r>
          </w:p>
        </w:tc>
        <w:tc>
          <w:tcPr>
            <w:tcW w:w="737" w:type="dxa"/>
            <w:gridSpan w:val="2"/>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分值</w:t>
            </w:r>
          </w:p>
        </w:tc>
        <w:tc>
          <w:tcPr>
            <w:tcW w:w="789"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执行率</w:t>
            </w:r>
          </w:p>
        </w:tc>
        <w:tc>
          <w:tcPr>
            <w:tcW w:w="644" w:type="dxa"/>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得分</w:t>
            </w:r>
          </w:p>
        </w:tc>
      </w:tr>
      <w:tr>
        <w:tblPrEx>
          <w:tblCellMar>
            <w:top w:w="0" w:type="dxa"/>
            <w:left w:w="108" w:type="dxa"/>
            <w:bottom w:w="0" w:type="dxa"/>
            <w:right w:w="108" w:type="dxa"/>
          </w:tblCellMar>
        </w:tblPrEx>
        <w:trPr>
          <w:trHeight w:val="276" w:hRule="exact"/>
          <w:jc w:val="center"/>
        </w:trPr>
        <w:tc>
          <w:tcPr>
            <w:tcW w:w="1603"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p>
        </w:tc>
        <w:tc>
          <w:tcPr>
            <w:tcW w:w="1713" w:type="dxa"/>
            <w:gridSpan w:val="2"/>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年度资金总额</w:t>
            </w:r>
          </w:p>
        </w:tc>
        <w:tc>
          <w:tcPr>
            <w:tcW w:w="1098" w:type="dxa"/>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11</w:t>
            </w:r>
          </w:p>
        </w:tc>
        <w:tc>
          <w:tcPr>
            <w:tcW w:w="1125" w:type="dxa"/>
            <w:gridSpan w:val="2"/>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11</w:t>
            </w:r>
          </w:p>
        </w:tc>
        <w:tc>
          <w:tcPr>
            <w:tcW w:w="1240" w:type="dxa"/>
            <w:gridSpan w:val="2"/>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5.71</w:t>
            </w:r>
          </w:p>
        </w:tc>
        <w:tc>
          <w:tcPr>
            <w:tcW w:w="737" w:type="dxa"/>
            <w:gridSpan w:val="2"/>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10</w:t>
            </w:r>
          </w:p>
        </w:tc>
        <w:tc>
          <w:tcPr>
            <w:tcW w:w="789"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51.91%</w:t>
            </w:r>
          </w:p>
        </w:tc>
        <w:tc>
          <w:tcPr>
            <w:tcW w:w="644" w:type="dxa"/>
            <w:tcBorders>
              <w:top w:val="nil"/>
              <w:left w:val="nil"/>
              <w:bottom w:val="single" w:color="auto" w:sz="4" w:space="0"/>
              <w:right w:val="single" w:color="auto" w:sz="4" w:space="0"/>
            </w:tcBorders>
            <w:vAlign w:val="center"/>
          </w:tcPr>
          <w:p>
            <w:pPr>
              <w:rPr>
                <w:rFonts w:hint="default" w:ascii="宋体" w:hAnsi="宋体" w:eastAsia="宋体" w:cs="宋体"/>
                <w:sz w:val="18"/>
                <w:szCs w:val="18"/>
                <w:lang w:val="en-US" w:eastAsia="zh-CN"/>
              </w:rPr>
            </w:pPr>
            <w:r>
              <w:rPr>
                <w:rFonts w:hint="eastAsia" w:ascii="宋体" w:hAnsi="宋体" w:cs="宋体"/>
                <w:sz w:val="18"/>
                <w:szCs w:val="18"/>
                <w:lang w:val="en-US" w:eastAsia="zh-CN"/>
              </w:rPr>
              <w:t>5.2</w:t>
            </w:r>
          </w:p>
        </w:tc>
      </w:tr>
      <w:tr>
        <w:tblPrEx>
          <w:tblCellMar>
            <w:top w:w="0" w:type="dxa"/>
            <w:left w:w="108" w:type="dxa"/>
            <w:bottom w:w="0" w:type="dxa"/>
            <w:right w:w="108" w:type="dxa"/>
          </w:tblCellMar>
        </w:tblPrEx>
        <w:trPr>
          <w:trHeight w:val="598" w:hRule="exact"/>
          <w:jc w:val="center"/>
        </w:trPr>
        <w:tc>
          <w:tcPr>
            <w:tcW w:w="1603"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p>
        </w:tc>
        <w:tc>
          <w:tcPr>
            <w:tcW w:w="1713" w:type="dxa"/>
            <w:gridSpan w:val="2"/>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其中：当年财政拨款</w:t>
            </w:r>
          </w:p>
        </w:tc>
        <w:tc>
          <w:tcPr>
            <w:tcW w:w="1098" w:type="dxa"/>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11</w:t>
            </w:r>
          </w:p>
        </w:tc>
        <w:tc>
          <w:tcPr>
            <w:tcW w:w="1125" w:type="dxa"/>
            <w:gridSpan w:val="2"/>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11</w:t>
            </w:r>
          </w:p>
        </w:tc>
        <w:tc>
          <w:tcPr>
            <w:tcW w:w="1240" w:type="dxa"/>
            <w:gridSpan w:val="2"/>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5.71</w:t>
            </w:r>
          </w:p>
        </w:tc>
        <w:tc>
          <w:tcPr>
            <w:tcW w:w="737" w:type="dxa"/>
            <w:gridSpan w:val="2"/>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w:t>
            </w:r>
          </w:p>
        </w:tc>
        <w:tc>
          <w:tcPr>
            <w:tcW w:w="789"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p>
        </w:tc>
        <w:tc>
          <w:tcPr>
            <w:tcW w:w="644" w:type="dxa"/>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w:t>
            </w:r>
          </w:p>
        </w:tc>
      </w:tr>
      <w:tr>
        <w:tblPrEx>
          <w:tblCellMar>
            <w:top w:w="0" w:type="dxa"/>
            <w:left w:w="108" w:type="dxa"/>
            <w:bottom w:w="0" w:type="dxa"/>
            <w:right w:w="108" w:type="dxa"/>
          </w:tblCellMar>
        </w:tblPrEx>
        <w:trPr>
          <w:trHeight w:val="564" w:hRule="exact"/>
          <w:jc w:val="center"/>
        </w:trPr>
        <w:tc>
          <w:tcPr>
            <w:tcW w:w="1603"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p>
        </w:tc>
        <w:tc>
          <w:tcPr>
            <w:tcW w:w="1713" w:type="dxa"/>
            <w:gridSpan w:val="2"/>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 xml:space="preserve">      上年结转资金</w:t>
            </w:r>
          </w:p>
        </w:tc>
        <w:tc>
          <w:tcPr>
            <w:tcW w:w="1098" w:type="dxa"/>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p>
        </w:tc>
        <w:tc>
          <w:tcPr>
            <w:tcW w:w="1125" w:type="dxa"/>
            <w:gridSpan w:val="2"/>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p>
        </w:tc>
        <w:tc>
          <w:tcPr>
            <w:tcW w:w="1240" w:type="dxa"/>
            <w:gridSpan w:val="2"/>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p>
        </w:tc>
        <w:tc>
          <w:tcPr>
            <w:tcW w:w="737" w:type="dxa"/>
            <w:gridSpan w:val="2"/>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w:t>
            </w:r>
          </w:p>
        </w:tc>
        <w:tc>
          <w:tcPr>
            <w:tcW w:w="789"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p>
        </w:tc>
        <w:tc>
          <w:tcPr>
            <w:tcW w:w="644" w:type="dxa"/>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w:t>
            </w:r>
          </w:p>
        </w:tc>
      </w:tr>
      <w:tr>
        <w:tblPrEx>
          <w:tblCellMar>
            <w:top w:w="0" w:type="dxa"/>
            <w:left w:w="108" w:type="dxa"/>
            <w:bottom w:w="0" w:type="dxa"/>
            <w:right w:w="108" w:type="dxa"/>
          </w:tblCellMar>
        </w:tblPrEx>
        <w:trPr>
          <w:trHeight w:val="326" w:hRule="exact"/>
          <w:jc w:val="center"/>
        </w:trPr>
        <w:tc>
          <w:tcPr>
            <w:tcW w:w="1603"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p>
        </w:tc>
        <w:tc>
          <w:tcPr>
            <w:tcW w:w="1713" w:type="dxa"/>
            <w:gridSpan w:val="2"/>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 xml:space="preserve">  其他资金</w:t>
            </w:r>
          </w:p>
        </w:tc>
        <w:tc>
          <w:tcPr>
            <w:tcW w:w="1098" w:type="dxa"/>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p>
        </w:tc>
        <w:tc>
          <w:tcPr>
            <w:tcW w:w="1125" w:type="dxa"/>
            <w:gridSpan w:val="2"/>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p>
        </w:tc>
        <w:tc>
          <w:tcPr>
            <w:tcW w:w="1240" w:type="dxa"/>
            <w:gridSpan w:val="2"/>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p>
        </w:tc>
        <w:tc>
          <w:tcPr>
            <w:tcW w:w="737" w:type="dxa"/>
            <w:gridSpan w:val="2"/>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w:t>
            </w:r>
          </w:p>
        </w:tc>
        <w:tc>
          <w:tcPr>
            <w:tcW w:w="789"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p>
        </w:tc>
        <w:tc>
          <w:tcPr>
            <w:tcW w:w="644" w:type="dxa"/>
            <w:tcBorders>
              <w:top w:val="nil"/>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w:t>
            </w:r>
          </w:p>
        </w:tc>
      </w:tr>
      <w:tr>
        <w:tblPrEx>
          <w:tblCellMar>
            <w:top w:w="0" w:type="dxa"/>
            <w:left w:w="108" w:type="dxa"/>
            <w:bottom w:w="0" w:type="dxa"/>
            <w:right w:w="108" w:type="dxa"/>
          </w:tblCellMar>
        </w:tblPrEx>
        <w:trPr>
          <w:trHeight w:val="326" w:hRule="exact"/>
          <w:jc w:val="center"/>
        </w:trPr>
        <w:tc>
          <w:tcPr>
            <w:tcW w:w="669" w:type="dxa"/>
            <w:vMerge w:val="restart"/>
            <w:tcBorders>
              <w:top w:val="nil"/>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年度总体目标</w:t>
            </w:r>
          </w:p>
        </w:tc>
        <w:tc>
          <w:tcPr>
            <w:tcW w:w="4870" w:type="dxa"/>
            <w:gridSpan w:val="6"/>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预期目标</w:t>
            </w:r>
          </w:p>
        </w:tc>
        <w:tc>
          <w:tcPr>
            <w:tcW w:w="3410" w:type="dxa"/>
            <w:gridSpan w:val="6"/>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实际完成情况</w:t>
            </w:r>
          </w:p>
        </w:tc>
      </w:tr>
      <w:tr>
        <w:tblPrEx>
          <w:tblCellMar>
            <w:top w:w="0" w:type="dxa"/>
            <w:left w:w="108" w:type="dxa"/>
            <w:bottom w:w="0" w:type="dxa"/>
            <w:right w:w="108" w:type="dxa"/>
          </w:tblCellMar>
        </w:tblPrEx>
        <w:trPr>
          <w:trHeight w:val="3335" w:hRule="exact"/>
          <w:jc w:val="center"/>
        </w:trPr>
        <w:tc>
          <w:tcPr>
            <w:tcW w:w="669" w:type="dxa"/>
            <w:vMerge w:val="continue"/>
            <w:tcBorders>
              <w:top w:val="nil"/>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p>
        </w:tc>
        <w:tc>
          <w:tcPr>
            <w:tcW w:w="4870" w:type="dxa"/>
            <w:gridSpan w:val="6"/>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1、贯彻落实国家脑卒中综合防治工作方案，践行脑卒中防治策略，推广普及脑卒中高危人群防治适宜技术，提高脑卒中知晓率，治愈率和控制率，推动脑卒中防治工作由疾病治疗转向健康管理，完善脑卒中防治长效工作机制，构建防治工作体系，逐步降低脑卒中发病率、增长速度，保护健康劳动力，减轻家庭和社会的负担。 2、完成脑卒中社区随访筛查任务和院内随访筛查任务，提高脑卒中患者及高危人群的筛查评估率和干预率，提升百姓的健康水平。 3、秉持预防为主，防治结合的原则。全面开展人群脑卒中危险因素早期发现和心脑血管病综合干预管理工作，持续开展全人群的慢病防治健康宣传教育工作，全面推广应用脑卒中防治适宜技术，深入开展医务人员规范化培训，提高脑卒中防治的能力和水平，做好脑卒中防控效果的考核评估工作。</w:t>
            </w:r>
          </w:p>
        </w:tc>
        <w:tc>
          <w:tcPr>
            <w:tcW w:w="3410" w:type="dxa"/>
            <w:gridSpan w:val="6"/>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已完成脑卒中社区随访筛查任务和院内随访筛查任务，提高脑卒中患者及高危人群的筛查评估率和干预率，提升百姓的健康水平。 开展了人群脑卒中危险因素早期发现和心脑血管病综合干预管理工作，进行医务人员规范化培训，提高脑卒中防治的能力和水平。此外2023年与安贞医院随访中心合作，强化了出院后随访工作，通过随访进一步强化了出院患者的健康指导。</w:t>
            </w:r>
          </w:p>
        </w:tc>
      </w:tr>
      <w:tr>
        <w:tblPrEx>
          <w:tblCellMar>
            <w:top w:w="0" w:type="dxa"/>
            <w:left w:w="108" w:type="dxa"/>
            <w:bottom w:w="0" w:type="dxa"/>
            <w:right w:w="108" w:type="dxa"/>
          </w:tblCellMar>
        </w:tblPrEx>
        <w:trPr>
          <w:trHeight w:val="776" w:hRule="exact"/>
          <w:jc w:val="center"/>
        </w:trPr>
        <w:tc>
          <w:tcPr>
            <w:tcW w:w="669" w:type="dxa"/>
            <w:vMerge w:val="restart"/>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绩</w:t>
            </w:r>
            <w:r>
              <w:rPr>
                <w:rFonts w:hint="eastAsia" w:ascii="宋体" w:hAnsi="宋体" w:eastAsia="宋体" w:cs="宋体"/>
                <w:sz w:val="18"/>
                <w:szCs w:val="18"/>
              </w:rPr>
              <w:br w:type="textWrapping"/>
            </w:r>
            <w:r>
              <w:rPr>
                <w:rFonts w:hint="eastAsia" w:ascii="宋体" w:hAnsi="宋体" w:eastAsia="宋体" w:cs="宋体"/>
                <w:sz w:val="18"/>
                <w:szCs w:val="18"/>
              </w:rPr>
              <w:t>效</w:t>
            </w:r>
            <w:r>
              <w:rPr>
                <w:rFonts w:hint="eastAsia" w:ascii="宋体" w:hAnsi="宋体" w:eastAsia="宋体" w:cs="宋体"/>
                <w:sz w:val="18"/>
                <w:szCs w:val="18"/>
              </w:rPr>
              <w:br w:type="textWrapping"/>
            </w:r>
            <w:r>
              <w:rPr>
                <w:rFonts w:hint="eastAsia" w:ascii="宋体" w:hAnsi="宋体" w:eastAsia="宋体" w:cs="宋体"/>
                <w:sz w:val="18"/>
                <w:szCs w:val="18"/>
              </w:rPr>
              <w:t>指</w:t>
            </w:r>
            <w:r>
              <w:rPr>
                <w:rFonts w:hint="eastAsia" w:ascii="宋体" w:hAnsi="宋体" w:eastAsia="宋体" w:cs="宋体"/>
                <w:sz w:val="18"/>
                <w:szCs w:val="18"/>
              </w:rPr>
              <w:br w:type="textWrapping"/>
            </w:r>
            <w:r>
              <w:rPr>
                <w:rFonts w:hint="eastAsia" w:ascii="宋体" w:hAnsi="宋体" w:eastAsia="宋体" w:cs="宋体"/>
                <w:sz w:val="18"/>
                <w:szCs w:val="18"/>
              </w:rPr>
              <w:t>标</w:t>
            </w:r>
          </w:p>
          <w:p>
            <w:pPr>
              <w:rPr>
                <w:rFonts w:hint="eastAsia" w:ascii="宋体" w:hAnsi="宋体" w:eastAsia="宋体" w:cs="宋体"/>
                <w:sz w:val="18"/>
                <w:szCs w:val="18"/>
              </w:rPr>
            </w:pPr>
          </w:p>
        </w:tc>
        <w:tc>
          <w:tcPr>
            <w:tcW w:w="934"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一级指标</w:t>
            </w:r>
          </w:p>
        </w:tc>
        <w:tc>
          <w:tcPr>
            <w:tcW w:w="1058"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二级指标</w:t>
            </w:r>
          </w:p>
        </w:tc>
        <w:tc>
          <w:tcPr>
            <w:tcW w:w="2046" w:type="dxa"/>
            <w:gridSpan w:val="3"/>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三级指标</w:t>
            </w:r>
          </w:p>
        </w:tc>
        <w:tc>
          <w:tcPr>
            <w:tcW w:w="832"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年度</w:t>
            </w:r>
          </w:p>
          <w:p>
            <w:pPr>
              <w:rPr>
                <w:rFonts w:hint="eastAsia" w:ascii="宋体" w:hAnsi="宋体" w:eastAsia="宋体" w:cs="宋体"/>
                <w:sz w:val="18"/>
                <w:szCs w:val="18"/>
              </w:rPr>
            </w:pPr>
            <w:r>
              <w:rPr>
                <w:rFonts w:hint="eastAsia" w:ascii="宋体" w:hAnsi="宋体" w:eastAsia="宋体" w:cs="宋体"/>
                <w:sz w:val="18"/>
                <w:szCs w:val="18"/>
              </w:rPr>
              <w:t>指标值</w:t>
            </w:r>
          </w:p>
        </w:tc>
        <w:tc>
          <w:tcPr>
            <w:tcW w:w="794"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实际</w:t>
            </w:r>
          </w:p>
          <w:p>
            <w:pPr>
              <w:rPr>
                <w:rFonts w:hint="eastAsia" w:ascii="宋体" w:hAnsi="宋体" w:eastAsia="宋体" w:cs="宋体"/>
                <w:sz w:val="18"/>
                <w:szCs w:val="18"/>
              </w:rPr>
            </w:pPr>
            <w:r>
              <w:rPr>
                <w:rFonts w:hint="eastAsia" w:ascii="宋体" w:hAnsi="宋体" w:eastAsia="宋体" w:cs="宋体"/>
                <w:sz w:val="18"/>
                <w:szCs w:val="18"/>
              </w:rPr>
              <w:t>完成值</w:t>
            </w:r>
          </w:p>
        </w:tc>
        <w:tc>
          <w:tcPr>
            <w:tcW w:w="540" w:type="dxa"/>
            <w:gridSpan w:val="2"/>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分值</w:t>
            </w:r>
          </w:p>
        </w:tc>
        <w:tc>
          <w:tcPr>
            <w:tcW w:w="643"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得分</w:t>
            </w:r>
          </w:p>
        </w:tc>
        <w:tc>
          <w:tcPr>
            <w:tcW w:w="1433" w:type="dxa"/>
            <w:gridSpan w:val="2"/>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偏差原因分析及改进措施</w:t>
            </w:r>
          </w:p>
        </w:tc>
      </w:tr>
      <w:tr>
        <w:tblPrEx>
          <w:tblCellMar>
            <w:top w:w="0" w:type="dxa"/>
            <w:left w:w="108" w:type="dxa"/>
            <w:bottom w:w="0" w:type="dxa"/>
            <w:right w:w="108" w:type="dxa"/>
          </w:tblCellMar>
        </w:tblPrEx>
        <w:trPr>
          <w:trHeight w:val="694" w:hRule="exact"/>
          <w:jc w:val="center"/>
        </w:trPr>
        <w:tc>
          <w:tcPr>
            <w:tcW w:w="669"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p>
        </w:tc>
        <w:tc>
          <w:tcPr>
            <w:tcW w:w="934" w:type="dxa"/>
            <w:vMerge w:val="restart"/>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产出指标</w:t>
            </w:r>
          </w:p>
        </w:tc>
        <w:tc>
          <w:tcPr>
            <w:tcW w:w="105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数量指标</w:t>
            </w:r>
          </w:p>
        </w:tc>
        <w:tc>
          <w:tcPr>
            <w:tcW w:w="2046" w:type="dxa"/>
            <w:gridSpan w:val="3"/>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脑卒中高危人群的随访筛查</w:t>
            </w:r>
          </w:p>
        </w:tc>
        <w:tc>
          <w:tcPr>
            <w:tcW w:w="832"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kern w:val="0"/>
                <w:sz w:val="18"/>
                <w:szCs w:val="18"/>
              </w:rPr>
            </w:pPr>
            <w:r>
              <w:rPr>
                <w:rFonts w:hint="eastAsia" w:ascii="宋体" w:hAnsi="宋体" w:eastAsia="宋体" w:cs="宋体"/>
                <w:sz w:val="18"/>
                <w:szCs w:val="18"/>
              </w:rPr>
              <w:t>≥100%</w:t>
            </w:r>
          </w:p>
        </w:tc>
        <w:tc>
          <w:tcPr>
            <w:tcW w:w="794"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100%</w:t>
            </w:r>
          </w:p>
        </w:tc>
        <w:tc>
          <w:tcPr>
            <w:tcW w:w="540" w:type="dxa"/>
            <w:gridSpan w:val="2"/>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15</w:t>
            </w:r>
          </w:p>
        </w:tc>
        <w:tc>
          <w:tcPr>
            <w:tcW w:w="643"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15</w:t>
            </w:r>
          </w:p>
        </w:tc>
        <w:tc>
          <w:tcPr>
            <w:tcW w:w="1433" w:type="dxa"/>
            <w:gridSpan w:val="2"/>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p>
        </w:tc>
      </w:tr>
      <w:tr>
        <w:tblPrEx>
          <w:tblCellMar>
            <w:top w:w="0" w:type="dxa"/>
            <w:left w:w="108" w:type="dxa"/>
            <w:bottom w:w="0" w:type="dxa"/>
            <w:right w:w="108" w:type="dxa"/>
          </w:tblCellMar>
        </w:tblPrEx>
        <w:trPr>
          <w:trHeight w:val="559" w:hRule="exact"/>
          <w:jc w:val="center"/>
        </w:trPr>
        <w:tc>
          <w:tcPr>
            <w:tcW w:w="669"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p>
        </w:tc>
        <w:tc>
          <w:tcPr>
            <w:tcW w:w="934"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p>
        </w:tc>
        <w:tc>
          <w:tcPr>
            <w:tcW w:w="1058" w:type="dxa"/>
            <w:vMerge w:val="restart"/>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质量指标</w:t>
            </w:r>
          </w:p>
        </w:tc>
        <w:tc>
          <w:tcPr>
            <w:tcW w:w="2046" w:type="dxa"/>
            <w:gridSpan w:val="3"/>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高危人群干预率</w:t>
            </w:r>
          </w:p>
        </w:tc>
        <w:tc>
          <w:tcPr>
            <w:tcW w:w="832"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kern w:val="0"/>
                <w:sz w:val="18"/>
                <w:szCs w:val="18"/>
              </w:rPr>
            </w:pPr>
            <w:r>
              <w:rPr>
                <w:rFonts w:hint="eastAsia" w:ascii="宋体" w:hAnsi="宋体" w:eastAsia="宋体" w:cs="宋体"/>
                <w:sz w:val="18"/>
                <w:szCs w:val="18"/>
              </w:rPr>
              <w:t>≥90%</w:t>
            </w:r>
          </w:p>
        </w:tc>
        <w:tc>
          <w:tcPr>
            <w:tcW w:w="794"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95%</w:t>
            </w:r>
          </w:p>
        </w:tc>
        <w:tc>
          <w:tcPr>
            <w:tcW w:w="540" w:type="dxa"/>
            <w:gridSpan w:val="2"/>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15</w:t>
            </w:r>
          </w:p>
        </w:tc>
        <w:tc>
          <w:tcPr>
            <w:tcW w:w="643"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15</w:t>
            </w:r>
          </w:p>
        </w:tc>
        <w:tc>
          <w:tcPr>
            <w:tcW w:w="1433" w:type="dxa"/>
            <w:gridSpan w:val="2"/>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p>
        </w:tc>
      </w:tr>
      <w:tr>
        <w:tblPrEx>
          <w:tblCellMar>
            <w:top w:w="0" w:type="dxa"/>
            <w:left w:w="108" w:type="dxa"/>
            <w:bottom w:w="0" w:type="dxa"/>
            <w:right w:w="108" w:type="dxa"/>
          </w:tblCellMar>
        </w:tblPrEx>
        <w:trPr>
          <w:trHeight w:val="638" w:hRule="exact"/>
          <w:jc w:val="center"/>
        </w:trPr>
        <w:tc>
          <w:tcPr>
            <w:tcW w:w="669"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p>
        </w:tc>
        <w:tc>
          <w:tcPr>
            <w:tcW w:w="934"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p>
        </w:tc>
        <w:tc>
          <w:tcPr>
            <w:tcW w:w="1058"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p>
        </w:tc>
        <w:tc>
          <w:tcPr>
            <w:tcW w:w="2046" w:type="dxa"/>
            <w:gridSpan w:val="3"/>
            <w:tcBorders>
              <w:top w:val="single" w:color="auto" w:sz="4" w:space="0"/>
              <w:left w:val="nil"/>
              <w:bottom w:val="single" w:color="auto" w:sz="4" w:space="0"/>
              <w:right w:val="single" w:color="auto" w:sz="4" w:space="0"/>
            </w:tcBorders>
            <w:vAlign w:val="center"/>
          </w:tcPr>
          <w:p>
            <w:pPr>
              <w:rPr>
                <w:rFonts w:hint="eastAsia" w:ascii="宋体" w:hAnsi="宋体" w:eastAsia="宋体" w:cs="宋体"/>
                <w:kern w:val="0"/>
                <w:sz w:val="18"/>
                <w:szCs w:val="18"/>
              </w:rPr>
            </w:pPr>
            <w:r>
              <w:rPr>
                <w:rFonts w:hint="eastAsia" w:ascii="宋体" w:hAnsi="宋体" w:eastAsia="宋体" w:cs="宋体"/>
                <w:sz w:val="18"/>
                <w:szCs w:val="18"/>
              </w:rPr>
              <w:t>随访完成时间</w:t>
            </w:r>
          </w:p>
        </w:tc>
        <w:tc>
          <w:tcPr>
            <w:tcW w:w="832"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小于12月</w:t>
            </w:r>
          </w:p>
        </w:tc>
        <w:tc>
          <w:tcPr>
            <w:tcW w:w="794"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11个月</w:t>
            </w:r>
          </w:p>
        </w:tc>
        <w:tc>
          <w:tcPr>
            <w:tcW w:w="540" w:type="dxa"/>
            <w:gridSpan w:val="2"/>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15</w:t>
            </w:r>
          </w:p>
        </w:tc>
        <w:tc>
          <w:tcPr>
            <w:tcW w:w="643"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15</w:t>
            </w:r>
          </w:p>
        </w:tc>
        <w:tc>
          <w:tcPr>
            <w:tcW w:w="1433" w:type="dxa"/>
            <w:gridSpan w:val="2"/>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p>
        </w:tc>
      </w:tr>
      <w:tr>
        <w:tblPrEx>
          <w:tblCellMar>
            <w:top w:w="0" w:type="dxa"/>
            <w:left w:w="108" w:type="dxa"/>
            <w:bottom w:w="0" w:type="dxa"/>
            <w:right w:w="108" w:type="dxa"/>
          </w:tblCellMar>
        </w:tblPrEx>
        <w:trPr>
          <w:trHeight w:val="653" w:hRule="exact"/>
          <w:jc w:val="center"/>
        </w:trPr>
        <w:tc>
          <w:tcPr>
            <w:tcW w:w="669"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p>
        </w:tc>
        <w:tc>
          <w:tcPr>
            <w:tcW w:w="934"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p>
        </w:tc>
        <w:tc>
          <w:tcPr>
            <w:tcW w:w="105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成本指标</w:t>
            </w:r>
          </w:p>
        </w:tc>
        <w:tc>
          <w:tcPr>
            <w:tcW w:w="2046" w:type="dxa"/>
            <w:gridSpan w:val="3"/>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预算控制数</w:t>
            </w:r>
          </w:p>
        </w:tc>
        <w:tc>
          <w:tcPr>
            <w:tcW w:w="832"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kern w:val="0"/>
                <w:sz w:val="18"/>
                <w:szCs w:val="18"/>
              </w:rPr>
            </w:pPr>
            <w:r>
              <w:rPr>
                <w:rFonts w:hint="eastAsia" w:ascii="宋体" w:hAnsi="宋体" w:eastAsia="宋体" w:cs="宋体"/>
                <w:sz w:val="18"/>
                <w:szCs w:val="18"/>
              </w:rPr>
              <w:t>11万元</w:t>
            </w:r>
          </w:p>
        </w:tc>
        <w:tc>
          <w:tcPr>
            <w:tcW w:w="794"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5.71万元</w:t>
            </w:r>
          </w:p>
        </w:tc>
        <w:tc>
          <w:tcPr>
            <w:tcW w:w="540" w:type="dxa"/>
            <w:gridSpan w:val="2"/>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15</w:t>
            </w:r>
          </w:p>
        </w:tc>
        <w:tc>
          <w:tcPr>
            <w:tcW w:w="643"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15</w:t>
            </w:r>
          </w:p>
        </w:tc>
        <w:tc>
          <w:tcPr>
            <w:tcW w:w="1433" w:type="dxa"/>
            <w:gridSpan w:val="2"/>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p>
        </w:tc>
      </w:tr>
      <w:tr>
        <w:tblPrEx>
          <w:tblCellMar>
            <w:top w:w="0" w:type="dxa"/>
            <w:left w:w="108" w:type="dxa"/>
            <w:bottom w:w="0" w:type="dxa"/>
            <w:right w:w="108" w:type="dxa"/>
          </w:tblCellMar>
        </w:tblPrEx>
        <w:trPr>
          <w:trHeight w:val="590" w:hRule="exact"/>
          <w:jc w:val="center"/>
        </w:trPr>
        <w:tc>
          <w:tcPr>
            <w:tcW w:w="669"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p>
        </w:tc>
        <w:tc>
          <w:tcPr>
            <w:tcW w:w="934"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p>
        </w:tc>
        <w:tc>
          <w:tcPr>
            <w:tcW w:w="105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可持续影响指标</w:t>
            </w:r>
          </w:p>
        </w:tc>
        <w:tc>
          <w:tcPr>
            <w:tcW w:w="2046" w:type="dxa"/>
            <w:gridSpan w:val="3"/>
            <w:tcBorders>
              <w:top w:val="single" w:color="auto" w:sz="4" w:space="0"/>
              <w:left w:val="nil"/>
              <w:bottom w:val="single" w:color="auto" w:sz="4" w:space="0"/>
              <w:right w:val="single" w:color="auto" w:sz="4" w:space="0"/>
            </w:tcBorders>
            <w:vAlign w:val="center"/>
          </w:tcPr>
          <w:p>
            <w:pPr>
              <w:rPr>
                <w:rFonts w:hint="eastAsia" w:ascii="宋体" w:hAnsi="宋体" w:eastAsia="宋体" w:cs="宋体"/>
                <w:kern w:val="0"/>
                <w:sz w:val="18"/>
                <w:szCs w:val="18"/>
              </w:rPr>
            </w:pPr>
            <w:r>
              <w:rPr>
                <w:rFonts w:hint="eastAsia" w:ascii="宋体" w:hAnsi="宋体" w:eastAsia="宋体" w:cs="宋体"/>
                <w:sz w:val="18"/>
                <w:szCs w:val="18"/>
              </w:rPr>
              <w:t>人民健康水平提高</w:t>
            </w:r>
          </w:p>
        </w:tc>
        <w:tc>
          <w:tcPr>
            <w:tcW w:w="832"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提高</w:t>
            </w:r>
          </w:p>
        </w:tc>
        <w:tc>
          <w:tcPr>
            <w:tcW w:w="794"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提高</w:t>
            </w:r>
          </w:p>
        </w:tc>
        <w:tc>
          <w:tcPr>
            <w:tcW w:w="540" w:type="dxa"/>
            <w:gridSpan w:val="2"/>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20</w:t>
            </w:r>
          </w:p>
        </w:tc>
        <w:tc>
          <w:tcPr>
            <w:tcW w:w="643"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20</w:t>
            </w:r>
          </w:p>
        </w:tc>
        <w:tc>
          <w:tcPr>
            <w:tcW w:w="1433" w:type="dxa"/>
            <w:gridSpan w:val="2"/>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p>
        </w:tc>
      </w:tr>
      <w:tr>
        <w:tblPrEx>
          <w:tblCellMar>
            <w:top w:w="0" w:type="dxa"/>
            <w:left w:w="108" w:type="dxa"/>
            <w:bottom w:w="0" w:type="dxa"/>
            <w:right w:w="108" w:type="dxa"/>
          </w:tblCellMar>
        </w:tblPrEx>
        <w:trPr>
          <w:trHeight w:val="724" w:hRule="exact"/>
          <w:jc w:val="center"/>
        </w:trPr>
        <w:tc>
          <w:tcPr>
            <w:tcW w:w="669" w:type="dxa"/>
            <w:vMerge w:val="continue"/>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p>
        </w:tc>
        <w:tc>
          <w:tcPr>
            <w:tcW w:w="9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满意度</w:t>
            </w:r>
          </w:p>
          <w:p>
            <w:pPr>
              <w:rPr>
                <w:rFonts w:hint="eastAsia" w:ascii="宋体" w:hAnsi="宋体" w:eastAsia="宋体" w:cs="宋体"/>
                <w:sz w:val="18"/>
                <w:szCs w:val="18"/>
              </w:rPr>
            </w:pPr>
            <w:r>
              <w:rPr>
                <w:rFonts w:hint="eastAsia" w:ascii="宋体" w:hAnsi="宋体" w:eastAsia="宋体" w:cs="宋体"/>
                <w:sz w:val="18"/>
                <w:szCs w:val="18"/>
              </w:rPr>
              <w:t>指标</w:t>
            </w:r>
          </w:p>
        </w:tc>
        <w:tc>
          <w:tcPr>
            <w:tcW w:w="105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服务对象满意度指标</w:t>
            </w:r>
          </w:p>
        </w:tc>
        <w:tc>
          <w:tcPr>
            <w:tcW w:w="2046" w:type="dxa"/>
            <w:gridSpan w:val="3"/>
            <w:tcBorders>
              <w:top w:val="single" w:color="auto" w:sz="4" w:space="0"/>
              <w:left w:val="nil"/>
              <w:bottom w:val="single" w:color="auto" w:sz="4" w:space="0"/>
              <w:right w:val="single" w:color="auto" w:sz="4" w:space="0"/>
            </w:tcBorders>
            <w:vAlign w:val="center"/>
          </w:tcPr>
          <w:p>
            <w:pPr>
              <w:rPr>
                <w:rFonts w:hint="eastAsia" w:ascii="宋体" w:hAnsi="宋体" w:eastAsia="宋体" w:cs="宋体"/>
                <w:kern w:val="0"/>
                <w:sz w:val="18"/>
                <w:szCs w:val="18"/>
              </w:rPr>
            </w:pPr>
            <w:r>
              <w:rPr>
                <w:rFonts w:hint="eastAsia" w:ascii="宋体" w:hAnsi="宋体" w:eastAsia="宋体" w:cs="宋体"/>
                <w:sz w:val="18"/>
                <w:szCs w:val="18"/>
              </w:rPr>
              <w:t>医务服务对象满意度指标</w:t>
            </w:r>
          </w:p>
        </w:tc>
        <w:tc>
          <w:tcPr>
            <w:tcW w:w="832"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≥90%</w:t>
            </w:r>
          </w:p>
        </w:tc>
        <w:tc>
          <w:tcPr>
            <w:tcW w:w="794"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98%</w:t>
            </w:r>
          </w:p>
        </w:tc>
        <w:tc>
          <w:tcPr>
            <w:tcW w:w="540" w:type="dxa"/>
            <w:gridSpan w:val="2"/>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10</w:t>
            </w:r>
          </w:p>
        </w:tc>
        <w:tc>
          <w:tcPr>
            <w:tcW w:w="643"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10</w:t>
            </w:r>
          </w:p>
        </w:tc>
        <w:tc>
          <w:tcPr>
            <w:tcW w:w="1433" w:type="dxa"/>
            <w:gridSpan w:val="2"/>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p>
        </w:tc>
      </w:tr>
      <w:tr>
        <w:tblPrEx>
          <w:tblCellMar>
            <w:top w:w="0" w:type="dxa"/>
            <w:left w:w="108" w:type="dxa"/>
            <w:bottom w:w="0" w:type="dxa"/>
            <w:right w:w="108" w:type="dxa"/>
          </w:tblCellMar>
        </w:tblPrEx>
        <w:trPr>
          <w:trHeight w:val="326" w:hRule="exact"/>
          <w:jc w:val="center"/>
        </w:trPr>
        <w:tc>
          <w:tcPr>
            <w:tcW w:w="6333"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总分</w:t>
            </w:r>
          </w:p>
        </w:tc>
        <w:tc>
          <w:tcPr>
            <w:tcW w:w="540" w:type="dxa"/>
            <w:gridSpan w:val="2"/>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r>
              <w:rPr>
                <w:rFonts w:hint="eastAsia" w:ascii="宋体" w:hAnsi="宋体" w:eastAsia="宋体" w:cs="宋体"/>
                <w:sz w:val="18"/>
                <w:szCs w:val="18"/>
              </w:rPr>
              <w:t>100</w:t>
            </w:r>
          </w:p>
        </w:tc>
        <w:tc>
          <w:tcPr>
            <w:tcW w:w="643" w:type="dxa"/>
            <w:tcBorders>
              <w:top w:val="single" w:color="auto" w:sz="4" w:space="0"/>
              <w:left w:val="nil"/>
              <w:bottom w:val="single" w:color="auto" w:sz="4" w:space="0"/>
              <w:right w:val="single" w:color="auto" w:sz="4" w:space="0"/>
            </w:tcBorders>
            <w:vAlign w:val="center"/>
          </w:tcPr>
          <w:p>
            <w:pPr>
              <w:rPr>
                <w:rFonts w:hint="default" w:ascii="宋体" w:hAnsi="宋体" w:eastAsia="宋体" w:cs="宋体"/>
                <w:sz w:val="18"/>
                <w:szCs w:val="18"/>
                <w:lang w:val="en-US" w:eastAsia="zh-CN"/>
              </w:rPr>
            </w:pPr>
            <w:r>
              <w:rPr>
                <w:rFonts w:hint="eastAsia" w:ascii="宋体" w:hAnsi="宋体" w:eastAsia="宋体" w:cs="宋体"/>
                <w:sz w:val="18"/>
                <w:szCs w:val="18"/>
              </w:rPr>
              <w:t>9</w:t>
            </w:r>
            <w:r>
              <w:rPr>
                <w:rFonts w:hint="eastAsia" w:ascii="宋体" w:hAnsi="宋体" w:cs="宋体"/>
                <w:sz w:val="18"/>
                <w:szCs w:val="18"/>
                <w:lang w:val="en-US" w:eastAsia="zh-CN"/>
              </w:rPr>
              <w:t>4.8</w:t>
            </w:r>
          </w:p>
        </w:tc>
        <w:tc>
          <w:tcPr>
            <w:tcW w:w="1433" w:type="dxa"/>
            <w:gridSpan w:val="2"/>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18"/>
                <w:szCs w:val="18"/>
              </w:rPr>
            </w:pP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xNzAzZTU5NzIxOWNiNDQ1ZjBlMTdjZjQ4M2JiMjMifQ=="/>
  </w:docVars>
  <w:rsids>
    <w:rsidRoot w:val="28FF42C9"/>
    <w:rsid w:val="0041003E"/>
    <w:rsid w:val="005A598E"/>
    <w:rsid w:val="006E4FFC"/>
    <w:rsid w:val="009A51E2"/>
    <w:rsid w:val="00D34E34"/>
    <w:rsid w:val="00E51CBA"/>
    <w:rsid w:val="0167401F"/>
    <w:rsid w:val="1C46568C"/>
    <w:rsid w:val="1C6A4B52"/>
    <w:rsid w:val="28FF42C9"/>
    <w:rsid w:val="55FA61FF"/>
    <w:rsid w:val="63872CC8"/>
    <w:rsid w:val="6E783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line="240" w:lineRule="exact"/>
      <w:jc w:val="center"/>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spacing w:before="50" w:beforeLines="50"/>
      <w:ind w:firstLine="670" w:firstLineChars="200"/>
      <w:jc w:val="left"/>
      <w:outlineLvl w:val="0"/>
    </w:pPr>
    <w:rPr>
      <w:rFonts w:hint="eastAsia" w:eastAsia="黑体"/>
      <w:kern w:val="44"/>
      <w:sz w:val="32"/>
      <w:szCs w:val="32"/>
    </w:rPr>
  </w:style>
  <w:style w:type="paragraph" w:styleId="3">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4">
    <w:name w:val="Normal (Web)"/>
    <w:basedOn w:val="1"/>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160</Words>
  <Characters>914</Characters>
  <Lines>7</Lines>
  <Paragraphs>2</Paragraphs>
  <TotalTime>29</TotalTime>
  <ScaleCrop>false</ScaleCrop>
  <LinksUpToDate>false</LinksUpToDate>
  <CharactersWithSpaces>1072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2024-04-16T02:39:00Z</dcterms:created>
  <dc:creator>csj</dc:creator>
  <cp:lastModifiedBy>csj</cp:lastModifiedBy>
  <dcterms:modified xsi:type="dcterms:W3CDTF">2024-05-08T02:58:18Z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E3D9BA0F2E314E3D81C065E122341AAD_13</vt:lpwstr>
  </property>
</Properties>
</file>