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041" w:type="dxa"/>
        <w:jc w:val="center"/>
        <w:tblLayout w:type="fixed"/>
        <w:tblCellMar>
          <w:top w:w="0" w:type="dxa"/>
          <w:left w:w="108" w:type="dxa"/>
          <w:bottom w:w="0" w:type="dxa"/>
          <w:right w:w="108" w:type="dxa"/>
        </w:tblCellMar>
      </w:tblPr>
      <w:tblGrid>
        <w:gridCol w:w="691"/>
        <w:gridCol w:w="963"/>
        <w:gridCol w:w="1000"/>
        <w:gridCol w:w="767"/>
        <w:gridCol w:w="1250"/>
        <w:gridCol w:w="1043"/>
        <w:gridCol w:w="819"/>
        <w:gridCol w:w="461"/>
        <w:gridCol w:w="96"/>
        <w:gridCol w:w="677"/>
        <w:gridCol w:w="641"/>
        <w:gridCol w:w="633"/>
      </w:tblGrid>
      <w:tr>
        <w:tblPrEx>
          <w:tblCellMar>
            <w:top w:w="0" w:type="dxa"/>
            <w:left w:w="108" w:type="dxa"/>
            <w:bottom w:w="0" w:type="dxa"/>
            <w:right w:w="108" w:type="dxa"/>
          </w:tblCellMar>
        </w:tblPrEx>
        <w:trPr>
          <w:trHeight w:val="440" w:hRule="exact"/>
          <w:jc w:val="center"/>
        </w:trPr>
        <w:tc>
          <w:tcPr>
            <w:tcW w:w="9041" w:type="dxa"/>
            <w:gridSpan w:val="12"/>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2"/>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安贞医院扬帆三期医工结合第一年</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科技处</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北京安贞医院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于洋</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84005486</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4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75</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4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99</w:t>
            </w:r>
            <w:r>
              <w:rPr>
                <w:rFonts w:hint="eastAsia" w:ascii="宋体" w:hAnsi="宋体" w:cs="宋体"/>
                <w:kern w:val="0"/>
                <w:sz w:val="18"/>
                <w:szCs w:val="18"/>
              </w:rPr>
              <w:t>%</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9.9</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75</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4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4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4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289"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2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心磁图仪临床智能诊断软件系统研发；开发人工智能心血管智能筛查诊断系统和心血管风险预测系统；冠状动脉旁路移植术精准质控仪原理样机完成开发</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ascii="宋体" w:hAnsi="宋体" w:cs="宋体"/>
                <w:kern w:val="0"/>
                <w:sz w:val="18"/>
                <w:szCs w:val="18"/>
              </w:rPr>
              <w:t>已完成符合人工智能数据集标准的心磁图数据库建立及数据库质量评价工作，1-4月新增1500例心磁图检测</w:t>
            </w:r>
            <w:r>
              <w:rPr>
                <w:rFonts w:hint="eastAsia" w:ascii="宋体" w:hAnsi="宋体" w:cs="宋体"/>
                <w:kern w:val="0"/>
                <w:sz w:val="18"/>
                <w:szCs w:val="18"/>
              </w:rPr>
              <w:t>；预测系统软著开发完成；原型机制作完成</w:t>
            </w:r>
            <w:r>
              <w:rPr>
                <w:rFonts w:hint="eastAsia" w:ascii="宋体" w:hAnsi="宋体" w:cs="宋体"/>
                <w:kern w:val="0"/>
                <w:sz w:val="18"/>
                <w:szCs w:val="18"/>
                <w:lang w:eastAsia="zh-CN"/>
              </w:rPr>
              <w:t>。</w:t>
            </w:r>
            <w:bookmarkStart w:id="0" w:name="_GoBack"/>
            <w:bookmarkEnd w:id="0"/>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p>
        </w:tc>
        <w:tc>
          <w:tcPr>
            <w:tcW w:w="100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专利申请数量</w:t>
            </w:r>
          </w:p>
        </w:tc>
        <w:tc>
          <w:tcPr>
            <w:tcW w:w="1043"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819"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w:t>
            </w:r>
          </w:p>
        </w:tc>
        <w:tc>
          <w:tcPr>
            <w:tcW w:w="557"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677"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主持召开国内/外会议个数或进行国内外学术交流</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形成研究报告的份数</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学术交流</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培养专业人才数</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6</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7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开展课题研究个数</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7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申请课题数</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研究报告符合的标准/要求</w:t>
            </w:r>
          </w:p>
        </w:tc>
        <w:tc>
          <w:tcPr>
            <w:tcW w:w="10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符合</w:t>
            </w:r>
          </w:p>
        </w:tc>
        <w:tc>
          <w:tcPr>
            <w:tcW w:w="8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符合</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77"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4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课题研究符合的人才培养计划标准</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良好</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良好</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08"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项目实施满意度调查</w:t>
            </w:r>
          </w:p>
        </w:tc>
        <w:tc>
          <w:tcPr>
            <w:tcW w:w="1043"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2024.4</w:t>
            </w:r>
          </w:p>
        </w:tc>
        <w:tc>
          <w:tcPr>
            <w:tcW w:w="819"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2024.4</w:t>
            </w:r>
          </w:p>
        </w:tc>
        <w:tc>
          <w:tcPr>
            <w:tcW w:w="557"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77"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完成著作/教材/指南/规范编制</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2024.4</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2024.4</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完成国内外学术交流</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2024.4</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2024.4</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52"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成本控制数</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≤75万</w:t>
            </w:r>
          </w:p>
        </w:tc>
        <w:tc>
          <w:tcPr>
            <w:tcW w:w="819" w:type="dxa"/>
            <w:tcBorders>
              <w:top w:val="nil"/>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74.2479万元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w:t>
            </w: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2024</w:t>
            </w:r>
            <w:r>
              <w:rPr>
                <w:rFonts w:hint="eastAsia" w:ascii="宋体" w:hAnsi="宋体" w:cs="宋体"/>
                <w:kern w:val="0"/>
                <w:sz w:val="18"/>
                <w:szCs w:val="18"/>
                <w:lang w:val="en-US" w:eastAsia="zh-CN"/>
              </w:rPr>
              <w:t>年</w:t>
            </w:r>
            <w:r>
              <w:rPr>
                <w:rFonts w:hint="eastAsia" w:ascii="宋体" w:hAnsi="宋体" w:eastAsia="宋体" w:cs="宋体"/>
                <w:kern w:val="0"/>
                <w:sz w:val="18"/>
                <w:szCs w:val="18"/>
              </w:rPr>
              <w:t>完成支付</w:t>
            </w:r>
          </w:p>
        </w:tc>
      </w:tr>
      <w:tr>
        <w:tblPrEx>
          <w:tblCellMar>
            <w:top w:w="0" w:type="dxa"/>
            <w:left w:w="108" w:type="dxa"/>
            <w:bottom w:w="0" w:type="dxa"/>
            <w:right w:w="108" w:type="dxa"/>
          </w:tblCellMar>
        </w:tblPrEx>
        <w:trPr>
          <w:trHeight w:val="98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效益指标</w:t>
            </w:r>
          </w:p>
        </w:tc>
        <w:tc>
          <w:tcPr>
            <w:tcW w:w="100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提升医院心肺血管疾病、体外生命领域诊断/治疗方面的影响力</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良好</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良好</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10</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10</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4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研究成果可为心血管疾病研究提供理论支撑</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良好</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良好</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5</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5</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94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0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减少不必要的有创操作的风险,节省医保支出</w:t>
            </w:r>
          </w:p>
        </w:tc>
        <w:tc>
          <w:tcPr>
            <w:tcW w:w="1043"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良好</w:t>
            </w:r>
          </w:p>
        </w:tc>
        <w:tc>
          <w:tcPr>
            <w:tcW w:w="81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良好</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5</w:t>
            </w:r>
          </w:p>
        </w:tc>
        <w:tc>
          <w:tcPr>
            <w:tcW w:w="677"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5</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0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0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研究参与人员满意度</w:t>
            </w:r>
          </w:p>
        </w:tc>
        <w:tc>
          <w:tcPr>
            <w:tcW w:w="10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≥85%</w:t>
            </w:r>
          </w:p>
        </w:tc>
        <w:tc>
          <w:tcPr>
            <w:tcW w:w="8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41" w:hRule="exact"/>
          <w:jc w:val="center"/>
        </w:trPr>
        <w:tc>
          <w:tcPr>
            <w:tcW w:w="6533"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6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99.9</w:t>
            </w:r>
          </w:p>
        </w:tc>
        <w:tc>
          <w:tcPr>
            <w:tcW w:w="12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18631D"/>
    <w:rsid w:val="00487A39"/>
    <w:rsid w:val="005F1BB4"/>
    <w:rsid w:val="00713E07"/>
    <w:rsid w:val="007E29CD"/>
    <w:rsid w:val="00907476"/>
    <w:rsid w:val="0167401F"/>
    <w:rsid w:val="10C0364F"/>
    <w:rsid w:val="12EA79CB"/>
    <w:rsid w:val="16C26A0F"/>
    <w:rsid w:val="181B0729"/>
    <w:rsid w:val="1C46568C"/>
    <w:rsid w:val="28FF42C9"/>
    <w:rsid w:val="30346C14"/>
    <w:rsid w:val="393B1F1F"/>
    <w:rsid w:val="440A6801"/>
    <w:rsid w:val="44D268D0"/>
    <w:rsid w:val="46491A34"/>
    <w:rsid w:val="63872CC8"/>
    <w:rsid w:val="6E7838C8"/>
    <w:rsid w:val="730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字符"/>
    <w:basedOn w:val="8"/>
    <w:link w:val="5"/>
    <w:autoRedefine/>
    <w:qFormat/>
    <w:uiPriority w:val="0"/>
    <w:rPr>
      <w:kern w:val="2"/>
      <w:sz w:val="18"/>
      <w:szCs w:val="18"/>
    </w:rPr>
  </w:style>
  <w:style w:type="character" w:customStyle="1" w:styleId="10">
    <w:name w:val="页脚 字符"/>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154</Words>
  <Characters>879</Characters>
  <Lines>7</Lines>
  <Paragraphs>2</Paragraphs>
  <TotalTime>2</TotalTime>
  <ScaleCrop>false</ScaleCrop>
  <LinksUpToDate>false</LinksUpToDate>
  <CharactersWithSpaces>1031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2024-05-09T08:28:08Z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