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黑体"/>
          <w:sz w:val="32"/>
          <w:szCs w:val="32"/>
        </w:rPr>
      </w:pPr>
      <w:r>
        <w:rPr>
          <w:rFonts w:hint="eastAsia" w:ascii="黑体" w:hAnsi="黑体" w:eastAsia="黑体"/>
          <w:sz w:val="32"/>
          <w:szCs w:val="32"/>
        </w:rPr>
        <w:t>附件2</w:t>
      </w:r>
    </w:p>
    <w:tbl>
      <w:tblPr>
        <w:tblStyle w:val="7"/>
        <w:tblW w:w="9041" w:type="dxa"/>
        <w:jc w:val="center"/>
        <w:tblLayout w:type="fixed"/>
        <w:tblCellMar>
          <w:top w:w="0" w:type="dxa"/>
          <w:left w:w="108" w:type="dxa"/>
          <w:bottom w:w="0" w:type="dxa"/>
          <w:right w:w="108" w:type="dxa"/>
        </w:tblCellMar>
      </w:tblPr>
      <w:tblGrid>
        <w:gridCol w:w="691"/>
        <w:gridCol w:w="963"/>
        <w:gridCol w:w="1092"/>
        <w:gridCol w:w="801"/>
        <w:gridCol w:w="1098"/>
        <w:gridCol w:w="212"/>
        <w:gridCol w:w="857"/>
        <w:gridCol w:w="819"/>
        <w:gridCol w:w="461"/>
        <w:gridCol w:w="96"/>
        <w:gridCol w:w="557"/>
        <w:gridCol w:w="761"/>
        <w:gridCol w:w="633"/>
      </w:tblGrid>
      <w:tr>
        <w:tblPrEx>
          <w:tblCellMar>
            <w:top w:w="0" w:type="dxa"/>
            <w:left w:w="108" w:type="dxa"/>
            <w:bottom w:w="0" w:type="dxa"/>
            <w:right w:w="108" w:type="dxa"/>
          </w:tblCellMar>
        </w:tblPrEx>
        <w:trPr>
          <w:trHeight w:val="440" w:hRule="exact"/>
          <w:jc w:val="center"/>
        </w:trPr>
        <w:tc>
          <w:tcPr>
            <w:tcW w:w="9041" w:type="dxa"/>
            <w:gridSpan w:val="13"/>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041" w:type="dxa"/>
            <w:gridSpan w:val="13"/>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（2023年度）</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387"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安贞医院安全隐患整治第一批</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0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北京市</w:t>
            </w:r>
            <w:r>
              <w:rPr>
                <w:rFonts w:ascii="宋体" w:hAnsi="宋体" w:cs="宋体"/>
                <w:kern w:val="0"/>
                <w:sz w:val="18"/>
                <w:szCs w:val="18"/>
              </w:rPr>
              <w:t>医院管理中心</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047"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北京安贞医院</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40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赵汝生</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047"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64456986</w:t>
            </w:r>
          </w:p>
        </w:tc>
      </w:tr>
      <w:tr>
        <w:tblPrEx>
          <w:tblCellMar>
            <w:top w:w="0" w:type="dxa"/>
            <w:left w:w="108" w:type="dxa"/>
            <w:bottom w:w="0" w:type="dxa"/>
            <w:right w:w="108" w:type="dxa"/>
          </w:tblCellMar>
        </w:tblPrEx>
        <w:trPr>
          <w:trHeight w:val="644" w:hRule="exact"/>
          <w:jc w:val="center"/>
        </w:trPr>
        <w:tc>
          <w:tcPr>
            <w:tcW w:w="1654"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9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年初</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预算数</w:t>
            </w:r>
          </w:p>
        </w:tc>
        <w:tc>
          <w:tcPr>
            <w:tcW w:w="1069"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全年</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预算数</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47"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93"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09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0</w:t>
            </w:r>
          </w:p>
        </w:tc>
        <w:tc>
          <w:tcPr>
            <w:tcW w:w="1069" w:type="dxa"/>
            <w:gridSpan w:val="2"/>
            <w:tcBorders>
              <w:top w:val="nil"/>
              <w:left w:val="nil"/>
              <w:bottom w:val="single" w:color="auto" w:sz="4" w:space="0"/>
              <w:right w:val="single" w:color="auto" w:sz="4" w:space="0"/>
            </w:tcBorders>
            <w:vAlign w:val="center"/>
          </w:tcPr>
          <w:p>
            <w:pPr>
              <w:jc w:val="center"/>
            </w:pPr>
            <w:r>
              <w:rPr>
                <w:rFonts w:hint="eastAsia" w:ascii="宋体" w:hAnsi="宋体" w:cs="宋体"/>
                <w:kern w:val="0"/>
                <w:sz w:val="18"/>
                <w:szCs w:val="18"/>
              </w:rPr>
              <w:t>3331.5475</w:t>
            </w:r>
          </w:p>
        </w:tc>
        <w:tc>
          <w:tcPr>
            <w:tcW w:w="1280" w:type="dxa"/>
            <w:gridSpan w:val="2"/>
            <w:tcBorders>
              <w:top w:val="nil"/>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10</w:t>
            </w:r>
            <w:r>
              <w:rPr>
                <w:rFonts w:hint="eastAsia" w:ascii="宋体" w:hAnsi="宋体" w:cs="宋体"/>
                <w:kern w:val="0"/>
                <w:sz w:val="18"/>
                <w:szCs w:val="18"/>
              </w:rPr>
              <w:t>0</w:t>
            </w:r>
            <w:r>
              <w:rPr>
                <w:rFonts w:hint="eastAsia" w:ascii="宋体" w:hAnsi="宋体" w:cs="宋体"/>
                <w:kern w:val="0"/>
                <w:sz w:val="18"/>
                <w:szCs w:val="18"/>
                <w:lang w:val="en-US" w:eastAsia="zh-CN"/>
              </w:rPr>
              <w:t>%</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w:t>
            </w:r>
            <w:r>
              <w:rPr>
                <w:rFonts w:hint="eastAsia" w:ascii="宋体" w:hAnsi="宋体" w:cs="宋体"/>
                <w:kern w:val="0"/>
                <w:sz w:val="18"/>
                <w:szCs w:val="18"/>
              </w:rPr>
              <w:t>0</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9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09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0</w:t>
            </w:r>
          </w:p>
        </w:tc>
        <w:tc>
          <w:tcPr>
            <w:tcW w:w="1069" w:type="dxa"/>
            <w:gridSpan w:val="2"/>
            <w:tcBorders>
              <w:top w:val="nil"/>
              <w:left w:val="nil"/>
              <w:bottom w:val="single" w:color="auto" w:sz="4" w:space="0"/>
              <w:right w:val="single" w:color="auto" w:sz="4" w:space="0"/>
            </w:tcBorders>
            <w:vAlign w:val="center"/>
          </w:tcPr>
          <w:p>
            <w:pPr>
              <w:jc w:val="center"/>
            </w:pPr>
            <w:r>
              <w:rPr>
                <w:rFonts w:hint="eastAsia" w:ascii="宋体" w:hAnsi="宋体" w:cs="宋体"/>
                <w:kern w:val="0"/>
                <w:sz w:val="18"/>
                <w:szCs w:val="18"/>
              </w:rPr>
              <w:t>3331.5475</w:t>
            </w:r>
          </w:p>
        </w:tc>
        <w:tc>
          <w:tcPr>
            <w:tcW w:w="1280" w:type="dxa"/>
            <w:gridSpan w:val="2"/>
            <w:tcBorders>
              <w:top w:val="nil"/>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9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09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6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9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09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6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69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023"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32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1856" w:hRule="exact"/>
          <w:jc w:val="center"/>
        </w:trPr>
        <w:tc>
          <w:tcPr>
            <w:tcW w:w="69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023"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安贞医院朝阳院区地下综合管沟建设工程。在建设过程中因院内规划变更及医疗设备设施的增加导致院区地下管线错综复杂常出现管线交叉等问题。为进一步优化地下专业管线功能保障医院安全运行的前提下我院地下管网系统于2011年进行初步测绘。经过12年的地下管网排查梳理，结合相关专业国标规范等依据我院计划于通州院区启用后对朝阳院区地下管网系统进行全面改造。</w:t>
            </w:r>
          </w:p>
        </w:tc>
        <w:tc>
          <w:tcPr>
            <w:tcW w:w="332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北京安贞医院</w:t>
            </w:r>
            <w:r>
              <w:rPr>
                <w:rFonts w:ascii="宋体" w:hAnsi="宋体" w:cs="宋体"/>
                <w:kern w:val="0"/>
                <w:sz w:val="18"/>
                <w:szCs w:val="18"/>
              </w:rPr>
              <w:t>朝阳院区</w:t>
            </w:r>
            <w:r>
              <w:rPr>
                <w:rFonts w:hint="eastAsia" w:ascii="宋体" w:hAnsi="宋体" w:cs="宋体"/>
                <w:kern w:val="0"/>
                <w:sz w:val="18"/>
                <w:szCs w:val="18"/>
              </w:rPr>
              <w:t>安全隐患整治地下管沟第一批分为设计、</w:t>
            </w:r>
            <w:r>
              <w:rPr>
                <w:rFonts w:ascii="宋体" w:hAnsi="宋体" w:cs="宋体"/>
                <w:kern w:val="0"/>
                <w:sz w:val="18"/>
                <w:szCs w:val="18"/>
              </w:rPr>
              <w:t>电力设计</w:t>
            </w:r>
            <w:r>
              <w:rPr>
                <w:rFonts w:hint="eastAsia" w:ascii="宋体" w:hAnsi="宋体" w:cs="宋体"/>
                <w:kern w:val="0"/>
                <w:sz w:val="18"/>
                <w:szCs w:val="18"/>
              </w:rPr>
              <w:t>、监理、施工、</w:t>
            </w:r>
            <w:bookmarkStart w:id="0" w:name="_GoBack"/>
            <w:bookmarkEnd w:id="0"/>
            <w:r>
              <w:rPr>
                <w:rFonts w:ascii="宋体" w:hAnsi="宋体" w:cs="宋体"/>
                <w:kern w:val="0"/>
                <w:sz w:val="18"/>
                <w:szCs w:val="18"/>
              </w:rPr>
              <w:t>造价、勘探</w:t>
            </w:r>
            <w:r>
              <w:rPr>
                <w:rFonts w:hint="eastAsia" w:ascii="宋体" w:hAnsi="宋体" w:cs="宋体"/>
                <w:kern w:val="0"/>
                <w:sz w:val="18"/>
                <w:szCs w:val="18"/>
              </w:rPr>
              <w:t>六个</w:t>
            </w:r>
            <w:r>
              <w:rPr>
                <w:rFonts w:ascii="宋体" w:hAnsi="宋体" w:cs="宋体"/>
                <w:kern w:val="0"/>
                <w:sz w:val="18"/>
                <w:szCs w:val="18"/>
              </w:rPr>
              <w:t>分项</w:t>
            </w:r>
            <w:r>
              <w:rPr>
                <w:rFonts w:hint="eastAsia" w:ascii="宋体" w:hAnsi="宋体" w:cs="宋体"/>
                <w:kern w:val="0"/>
                <w:sz w:val="18"/>
                <w:szCs w:val="18"/>
              </w:rPr>
              <w:t>已于</w:t>
            </w:r>
            <w:r>
              <w:rPr>
                <w:rFonts w:hint="eastAsia" w:ascii="宋体" w:hAnsi="宋体" w:cs="宋体"/>
                <w:kern w:val="0"/>
                <w:sz w:val="18"/>
                <w:szCs w:val="18"/>
                <w:lang w:val="en-US" w:eastAsia="zh-CN"/>
              </w:rPr>
              <w:t>2024年</w:t>
            </w:r>
            <w:r>
              <w:rPr>
                <w:rFonts w:hint="eastAsia" w:ascii="宋体" w:hAnsi="宋体" w:cs="宋体"/>
                <w:kern w:val="0"/>
                <w:sz w:val="18"/>
                <w:szCs w:val="18"/>
              </w:rPr>
              <w:t>4月25日</w:t>
            </w:r>
            <w:r>
              <w:rPr>
                <w:rFonts w:ascii="宋体" w:hAnsi="宋体" w:cs="宋体"/>
                <w:kern w:val="0"/>
                <w:sz w:val="18"/>
                <w:szCs w:val="18"/>
              </w:rPr>
              <w:t>完成全部招标</w:t>
            </w:r>
            <w:r>
              <w:rPr>
                <w:rFonts w:hint="eastAsia" w:ascii="宋体" w:hAnsi="宋体" w:cs="宋体"/>
                <w:kern w:val="0"/>
                <w:sz w:val="18"/>
                <w:szCs w:val="18"/>
              </w:rPr>
              <w:t>及</w:t>
            </w:r>
            <w:r>
              <w:rPr>
                <w:rFonts w:ascii="宋体" w:hAnsi="宋体" w:cs="宋体"/>
                <w:kern w:val="0"/>
                <w:sz w:val="18"/>
                <w:szCs w:val="18"/>
              </w:rPr>
              <w:t>合同审计签订工作，</w:t>
            </w:r>
            <w:r>
              <w:rPr>
                <w:rFonts w:hint="eastAsia" w:ascii="宋体" w:hAnsi="宋体" w:cs="宋体"/>
                <w:kern w:val="0"/>
                <w:sz w:val="18"/>
                <w:szCs w:val="18"/>
                <w:lang w:val="en-US" w:eastAsia="zh-CN"/>
              </w:rPr>
              <w:t>2023年未支出，2024年</w:t>
            </w:r>
            <w:r>
              <w:rPr>
                <w:rFonts w:ascii="宋体" w:hAnsi="宋体" w:cs="宋体"/>
                <w:kern w:val="0"/>
                <w:sz w:val="18"/>
                <w:szCs w:val="18"/>
              </w:rPr>
              <w:t>已按照合同</w:t>
            </w:r>
            <w:r>
              <w:rPr>
                <w:rFonts w:hint="eastAsia" w:ascii="宋体" w:hAnsi="宋体" w:cs="宋体"/>
                <w:kern w:val="0"/>
                <w:sz w:val="18"/>
                <w:szCs w:val="18"/>
              </w:rPr>
              <w:t>约定付款。</w:t>
            </w:r>
          </w:p>
        </w:tc>
      </w:tr>
      <w:tr>
        <w:tblPrEx>
          <w:tblCellMar>
            <w:top w:w="0" w:type="dxa"/>
            <w:left w:w="108" w:type="dxa"/>
            <w:bottom w:w="0" w:type="dxa"/>
            <w:right w:w="108" w:type="dxa"/>
          </w:tblCellMar>
        </w:tblPrEx>
        <w:trPr>
          <w:trHeight w:val="517" w:hRule="exact"/>
          <w:jc w:val="center"/>
        </w:trPr>
        <w:tc>
          <w:tcPr>
            <w:tcW w:w="691"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p>
            <w:pPr>
              <w:widowControl/>
              <w:spacing w:line="240" w:lineRule="exact"/>
              <w:jc w:val="center"/>
              <w:rPr>
                <w:rFonts w:ascii="宋体" w:hAnsi="宋体" w:cs="宋体"/>
                <w:kern w:val="0"/>
                <w:sz w:val="18"/>
                <w:szCs w:val="18"/>
              </w:rPr>
            </w:pP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85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564"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完成设计、测绘、监理、</w:t>
            </w:r>
          </w:p>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施工合同签订</w:t>
            </w:r>
          </w:p>
          <w:p>
            <w:pPr>
              <w:widowControl/>
              <w:spacing w:line="240" w:lineRule="exact"/>
              <w:jc w:val="left"/>
              <w:rPr>
                <w:rFonts w:ascii="宋体" w:hAnsi="宋体" w:cs="宋体"/>
                <w:color w:val="000000"/>
                <w:kern w:val="0"/>
                <w:sz w:val="18"/>
                <w:szCs w:val="18"/>
              </w:rPr>
            </w:pPr>
          </w:p>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监理、施工合同签订</w:t>
            </w:r>
          </w:p>
          <w:p>
            <w:pPr>
              <w:widowControl/>
              <w:jc w:val="left"/>
              <w:rPr>
                <w:rFonts w:ascii="等线" w:eastAsia="等线"/>
                <w:color w:val="000000"/>
                <w:kern w:val="0"/>
                <w:sz w:val="18"/>
                <w:szCs w:val="18"/>
              </w:rPr>
            </w:pPr>
            <w:r>
              <w:rPr>
                <w:rFonts w:hint="eastAsia" w:ascii="等线" w:eastAsia="等线"/>
                <w:color w:val="000000"/>
                <w:sz w:val="18"/>
                <w:szCs w:val="18"/>
              </w:rPr>
              <w:t>完成设计、测绘、监理、施工合同签订</w:t>
            </w:r>
          </w:p>
          <w:p>
            <w:pPr>
              <w:widowControl/>
              <w:spacing w:line="240" w:lineRule="exact"/>
              <w:jc w:val="left"/>
              <w:rPr>
                <w:rFonts w:ascii="宋体" w:hAnsi="宋体" w:cs="宋体"/>
                <w:color w:val="000000"/>
                <w:kern w:val="0"/>
                <w:sz w:val="18"/>
                <w:szCs w:val="18"/>
              </w:rPr>
            </w:pPr>
          </w:p>
        </w:tc>
        <w:tc>
          <w:tcPr>
            <w:tcW w:w="85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2024.4</w:t>
            </w:r>
            <w:r>
              <w:rPr>
                <w:rFonts w:hint="eastAsia" w:ascii="宋体" w:hAnsi="宋体" w:cs="宋体"/>
                <w:kern w:val="0"/>
                <w:sz w:val="18"/>
                <w:szCs w:val="18"/>
              </w:rPr>
              <w:t>月</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2024.4</w:t>
            </w:r>
            <w:r>
              <w:rPr>
                <w:rFonts w:hint="eastAsia" w:ascii="宋体" w:hAnsi="宋体" w:cs="宋体"/>
                <w:kern w:val="0"/>
                <w:sz w:val="18"/>
                <w:szCs w:val="18"/>
              </w:rPr>
              <w:t>月</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50</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90"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降低低压电缆及管线安全隐患提升后勤能源供应稳定性</w:t>
            </w:r>
          </w:p>
        </w:tc>
        <w:tc>
          <w:tcPr>
            <w:tcW w:w="85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良好</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良好</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25"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可保障后勤能源供应长期稳定运行</w:t>
            </w:r>
          </w:p>
        </w:tc>
        <w:tc>
          <w:tcPr>
            <w:tcW w:w="85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良好</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良好</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68"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2023年总预算数控制在</w:t>
            </w:r>
            <w:r>
              <w:rPr>
                <w:rFonts w:hint="eastAsia" w:ascii="宋体" w:hAnsi="宋体" w:cs="宋体"/>
                <w:kern w:val="0"/>
                <w:sz w:val="18"/>
                <w:szCs w:val="18"/>
              </w:rPr>
              <w:t>3331.5475</w:t>
            </w:r>
            <w:r>
              <w:rPr>
                <w:rFonts w:hint="eastAsia" w:ascii="宋体" w:hAnsi="宋体" w:cs="宋体"/>
                <w:color w:val="000000"/>
                <w:kern w:val="0"/>
                <w:sz w:val="18"/>
                <w:szCs w:val="18"/>
              </w:rPr>
              <w:t>万元以内</w:t>
            </w:r>
          </w:p>
        </w:tc>
        <w:tc>
          <w:tcPr>
            <w:tcW w:w="85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≤3331.5475万元</w:t>
            </w:r>
          </w:p>
        </w:tc>
        <w:tc>
          <w:tcPr>
            <w:tcW w:w="8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cs="宋体"/>
                <w:kern w:val="0"/>
                <w:sz w:val="18"/>
                <w:szCs w:val="18"/>
              </w:rPr>
              <w:t>3331.5475</w:t>
            </w:r>
            <w:r>
              <w:rPr>
                <w:rFonts w:hint="eastAsia" w:ascii="宋体" w:hAnsi="宋体" w:cs="宋体"/>
                <w:kern w:val="0"/>
                <w:sz w:val="18"/>
                <w:szCs w:val="18"/>
                <w:lang w:val="en-US" w:eastAsia="zh-CN"/>
              </w:rPr>
              <w:t>万元</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55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533"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w:t>
            </w:r>
            <w:r>
              <w:rPr>
                <w:rFonts w:hint="eastAsia" w:ascii="宋体" w:hAnsi="宋体" w:cs="宋体"/>
                <w:color w:val="000000"/>
                <w:kern w:val="0"/>
                <w:sz w:val="18"/>
                <w:szCs w:val="18"/>
              </w:rPr>
              <w:t>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xNzAzZTU5NzIxOWNiNDQ1ZjBlMTdjZjQ4M2JiMjMifQ=="/>
  </w:docVars>
  <w:rsids>
    <w:rsidRoot w:val="28FF42C9"/>
    <w:rsid w:val="000045FC"/>
    <w:rsid w:val="0001318B"/>
    <w:rsid w:val="00176CA2"/>
    <w:rsid w:val="002B342B"/>
    <w:rsid w:val="003638E2"/>
    <w:rsid w:val="003E2A7D"/>
    <w:rsid w:val="003E781C"/>
    <w:rsid w:val="009707B4"/>
    <w:rsid w:val="009A490C"/>
    <w:rsid w:val="00C554F8"/>
    <w:rsid w:val="00DE10CB"/>
    <w:rsid w:val="00E41A1D"/>
    <w:rsid w:val="00F1480F"/>
    <w:rsid w:val="00F30582"/>
    <w:rsid w:val="00F3154A"/>
    <w:rsid w:val="00F84AB0"/>
    <w:rsid w:val="0167401F"/>
    <w:rsid w:val="0A5D6C49"/>
    <w:rsid w:val="1C46568C"/>
    <w:rsid w:val="28FF42C9"/>
    <w:rsid w:val="4BDA58BD"/>
    <w:rsid w:val="61496324"/>
    <w:rsid w:val="63872CC8"/>
    <w:rsid w:val="6E783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spacing w:before="50" w:beforeLines="50"/>
      <w:ind w:firstLine="670" w:firstLineChars="200"/>
      <w:jc w:val="left"/>
      <w:outlineLvl w:val="0"/>
    </w:pPr>
    <w:rPr>
      <w:rFonts w:hint="eastAsia" w:eastAsia="黑体"/>
      <w:kern w:val="44"/>
      <w:sz w:val="32"/>
      <w:szCs w:val="32"/>
    </w:rPr>
  </w:style>
  <w:style w:type="paragraph" w:styleId="3">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footer"/>
    <w:basedOn w:val="1"/>
    <w:link w:val="10"/>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Autospacing="1" w:afterAutospacing="1"/>
      <w:jc w:val="left"/>
    </w:pPr>
    <w:rPr>
      <w:kern w:val="0"/>
      <w:sz w:val="24"/>
    </w:rPr>
  </w:style>
  <w:style w:type="character" w:customStyle="1" w:styleId="9">
    <w:name w:val="页眉 字符"/>
    <w:basedOn w:val="8"/>
    <w:link w:val="5"/>
    <w:autoRedefine/>
    <w:qFormat/>
    <w:uiPriority w:val="0"/>
    <w:rPr>
      <w:kern w:val="2"/>
      <w:sz w:val="18"/>
      <w:szCs w:val="18"/>
    </w:rPr>
  </w:style>
  <w:style w:type="character" w:customStyle="1" w:styleId="10">
    <w:name w:val="页脚 字符"/>
    <w:basedOn w:val="8"/>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130</Words>
  <Characters>747</Characters>
  <Lines>6</Lines>
  <Paragraphs>1</Paragraphs>
  <TotalTime>1066</TotalTime>
  <ScaleCrop>false</ScaleCrop>
  <LinksUpToDate>false</LinksUpToDate>
  <CharactersWithSpaces>876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2024-04-16T02:39:00Z</dcterms:created>
  <dc:creator>csj</dc:creator>
  <cp:lastModifiedBy>csj</cp:lastModifiedBy>
  <dcterms:modified xsi:type="dcterms:W3CDTF">2024-05-09T07:46:21Z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F03ACE3CE6D146728D76A4A7EDF0ACF2_11</vt:lpwstr>
  </property>
</Properties>
</file>