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7"/>
        <w:tblW w:w="90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675"/>
        <w:gridCol w:w="1133"/>
        <w:gridCol w:w="1160"/>
        <w:gridCol w:w="1280"/>
        <w:gridCol w:w="572"/>
        <w:gridCol w:w="230"/>
        <w:gridCol w:w="280"/>
        <w:gridCol w:w="332"/>
        <w:gridCol w:w="6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4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4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安贞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医院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临床教学设备购置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首都医科大学附属北京安贞医院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陈立颖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84005410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199.8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199.8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199.8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199.8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9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2023年度预算为200.00万元。通过购置心肺复苏模型、闭合性四肢骨折固定模型、穿刺综合标准化病人、股静脉穿刺模型、超声引导下股骨神经穿刺训练模型、困难气道纤支镜检查模型、心电图和影像判读系统共41台/套/件，完善医院教学设备体系建设，为医院进行教学提供有效的硬件条件保障，提升医院整体教学研究水平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该项目已100%完成招标、供货、验收及资金支付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exact"/>
          <w:jc w:val="center"/>
        </w:trPr>
        <w:tc>
          <w:tcPr>
            <w:tcW w:w="69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购置心肺复苏模型、闭合性四肢骨折固定模型、穿刺综合标准化病人等临床教学专用设备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41台/套/件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41台/套/件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设备质量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达到合同约定的合格标准和技术参数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达到合同约定的合格标准和技术参数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设备验收合格率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达到100%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通过教育处、医学工程处、采购中心验收，验收合格率100%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完成招标工作及签订合同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2023年完成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2023年已完成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设备采购到位、安装、试运行、培训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2023年完成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2023年已完成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完成项目验收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2023年完成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2023年已完成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项目预算控制数  </w:t>
            </w:r>
          </w:p>
        </w:tc>
        <w:tc>
          <w:tcPr>
            <w:tcW w:w="1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200.00万元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199.8万元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医疗人员专业能力提升等方面的需求</w:t>
            </w:r>
          </w:p>
        </w:tc>
        <w:tc>
          <w:tcPr>
            <w:tcW w:w="1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满足各类医学生能力提升需求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满足各类医学生能力提升需求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教学工作正常运转方面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得到保障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得到保障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为医院教学提供强有力的硬件条件保障方面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得到保障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得到保障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设备购置在教学、科研中提供服务（作用），提升教学和科研质量方面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有效提升服务质量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有效提升服务质量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设备在一定时期内持续发挥其作用，完善教学和可研的需要方面  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设备持续发挥的作用年限为6年，完善临床教学体系，满足教育的需求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设备持续发挥的作用年限为6年，完善临床教学体系，满足教育的需求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设备使用人员（全日制本科生、研究生、临床医生）满意度</w:t>
            </w:r>
          </w:p>
        </w:tc>
        <w:tc>
          <w:tcPr>
            <w:tcW w:w="1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达到95%以上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达到95%以上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69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xNzAzZTU5NzIxOWNiNDQ1ZjBlMTdjZjQ4M2JiMjMifQ=="/>
  </w:docVars>
  <w:rsids>
    <w:rsidRoot w:val="28FF42C9"/>
    <w:rsid w:val="000853B6"/>
    <w:rsid w:val="00337ED8"/>
    <w:rsid w:val="003C1A69"/>
    <w:rsid w:val="005A149B"/>
    <w:rsid w:val="00630380"/>
    <w:rsid w:val="008E2C35"/>
    <w:rsid w:val="009D0DFC"/>
    <w:rsid w:val="00DE0489"/>
    <w:rsid w:val="00E95199"/>
    <w:rsid w:val="00F66C0F"/>
    <w:rsid w:val="00FF12C9"/>
    <w:rsid w:val="0167401F"/>
    <w:rsid w:val="1C46568C"/>
    <w:rsid w:val="28FF42C9"/>
    <w:rsid w:val="29657211"/>
    <w:rsid w:val="2D4612DF"/>
    <w:rsid w:val="63872CC8"/>
    <w:rsid w:val="6E78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50"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9">
    <w:name w:val="font31"/>
    <w:basedOn w:val="8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0">
    <w:name w:val="font21"/>
    <w:basedOn w:val="8"/>
    <w:uiPriority w:val="0"/>
    <w:rPr>
      <w:rFonts w:hint="default" w:ascii="Arial" w:hAnsi="Arial" w:cs="Arial"/>
      <w:color w:val="000000"/>
      <w:sz w:val="24"/>
      <w:szCs w:val="24"/>
      <w:u w:val="none"/>
    </w:rPr>
  </w:style>
  <w:style w:type="character" w:customStyle="1" w:styleId="11">
    <w:name w:val="页眉 字符"/>
    <w:basedOn w:val="8"/>
    <w:link w:val="5"/>
    <w:uiPriority w:val="0"/>
    <w:rPr>
      <w:kern w:val="2"/>
      <w:sz w:val="18"/>
      <w:szCs w:val="18"/>
    </w:rPr>
  </w:style>
  <w:style w:type="character" w:customStyle="1" w:styleId="12">
    <w:name w:val="页脚 字符"/>
    <w:basedOn w:val="8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197</Words>
  <Characters>1124</Characters>
  <Lines>9</Lines>
  <Paragraphs>2</Paragraphs>
  <TotalTime>22</TotalTime>
  <ScaleCrop>false</ScaleCrop>
  <LinksUpToDate>false</LinksUpToDate>
  <CharactersWithSpaces>1319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csj</cp:lastModifiedBy>
  <dcterms:modified xsi:type="dcterms:W3CDTF">2024-05-08T03:02:54Z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