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692"/>
        <w:gridCol w:w="965"/>
        <w:gridCol w:w="1094"/>
        <w:gridCol w:w="676"/>
        <w:gridCol w:w="901"/>
        <w:gridCol w:w="538"/>
        <w:gridCol w:w="617"/>
        <w:gridCol w:w="242"/>
        <w:gridCol w:w="723"/>
        <w:gridCol w:w="97"/>
        <w:gridCol w:w="381"/>
        <w:gridCol w:w="177"/>
        <w:gridCol w:w="558"/>
        <w:gridCol w:w="132"/>
        <w:gridCol w:w="630"/>
        <w:gridCol w:w="637"/>
      </w:tblGrid>
      <w:tr>
        <w:tblPrEx>
          <w:tblCellMar>
            <w:top w:w="0" w:type="dxa"/>
            <w:left w:w="108" w:type="dxa"/>
            <w:bottom w:w="0" w:type="dxa"/>
            <w:right w:w="108" w:type="dxa"/>
          </w:tblCellMar>
        </w:tblPrEx>
        <w:trPr>
          <w:trHeight w:val="431" w:hRule="exact"/>
          <w:jc w:val="center"/>
        </w:trPr>
        <w:tc>
          <w:tcPr>
            <w:tcW w:w="9060" w:type="dxa"/>
            <w:gridSpan w:val="16"/>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06" w:hRule="atLeast"/>
          <w:jc w:val="center"/>
        </w:trPr>
        <w:tc>
          <w:tcPr>
            <w:tcW w:w="9060" w:type="dxa"/>
            <w:gridSpan w:val="16"/>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03" w:type="dxa"/>
            <w:gridSpan w:val="1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安定医院医学人才培养</w:t>
            </w:r>
          </w:p>
        </w:tc>
      </w:tr>
      <w:tr>
        <w:tblPrEx>
          <w:tblCellMar>
            <w:top w:w="0" w:type="dxa"/>
            <w:left w:w="108" w:type="dxa"/>
            <w:bottom w:w="0" w:type="dxa"/>
            <w:right w:w="108" w:type="dxa"/>
          </w:tblCellMar>
        </w:tblPrEx>
        <w:trPr>
          <w:trHeight w:val="470"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382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13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首都医科大学附属北京安定医院</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382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杨健</w:t>
            </w:r>
            <w:r>
              <w:rPr>
                <w:rFonts w:hint="eastAsia" w:ascii="宋体" w:hAnsi="宋体" w:cs="宋体"/>
                <w:kern w:val="0"/>
                <w:sz w:val="18"/>
                <w:szCs w:val="18"/>
                <w:lang w:eastAsia="zh-CN"/>
              </w:rPr>
              <w:t>、</w:t>
            </w:r>
            <w:r>
              <w:rPr>
                <w:rFonts w:hint="eastAsia" w:ascii="宋体" w:hAnsi="宋体" w:cs="宋体"/>
                <w:kern w:val="0"/>
                <w:sz w:val="18"/>
                <w:szCs w:val="18"/>
              </w:rPr>
              <w:t>贾竑晓</w:t>
            </w: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134"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59513359、</w:t>
            </w:r>
            <w:r>
              <w:rPr>
                <w:rFonts w:hint="eastAsia" w:ascii="宋体" w:hAnsi="宋体" w:cs="宋体"/>
                <w:kern w:val="0"/>
                <w:sz w:val="18"/>
                <w:szCs w:val="18"/>
              </w:rPr>
              <w:t>58303065</w:t>
            </w:r>
          </w:p>
        </w:tc>
      </w:tr>
      <w:tr>
        <w:tblPrEx>
          <w:tblCellMar>
            <w:top w:w="0" w:type="dxa"/>
            <w:left w:w="108" w:type="dxa"/>
            <w:bottom w:w="0" w:type="dxa"/>
            <w:right w:w="108" w:type="dxa"/>
          </w:tblCellMar>
        </w:tblPrEx>
        <w:trPr>
          <w:trHeight w:val="630" w:hRule="exact"/>
          <w:jc w:val="center"/>
        </w:trPr>
        <w:tc>
          <w:tcPr>
            <w:tcW w:w="165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0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67"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2"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124.07</w:t>
            </w:r>
          </w:p>
        </w:tc>
        <w:tc>
          <w:tcPr>
            <w:tcW w:w="11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124.07</w:t>
            </w: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124.07</w:t>
            </w:r>
          </w:p>
        </w:tc>
        <w:tc>
          <w:tcPr>
            <w:tcW w:w="867"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0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bidi="ar-SA"/>
              </w:rPr>
              <w:t>124.07</w:t>
            </w:r>
          </w:p>
        </w:tc>
        <w:tc>
          <w:tcPr>
            <w:tcW w:w="11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bidi="ar-SA"/>
              </w:rPr>
              <w:t>124.07</w:t>
            </w: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124.07</w:t>
            </w:r>
          </w:p>
        </w:tc>
        <w:tc>
          <w:tcPr>
            <w:tcW w:w="867"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bidi="ar-SA"/>
              </w:rPr>
              <w:t>100%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0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67"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0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5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443" w:type="dxa"/>
            <w:gridSpan w:val="4"/>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67" w:type="dxa"/>
            <w:gridSpan w:val="3"/>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3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6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96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c>
          <w:tcPr>
            <w:tcW w:w="4791"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pPr>
            <w:r>
              <w:rPr>
                <w:rFonts w:hint="eastAsia" w:ascii="宋体" w:hAnsi="宋体" w:cs="宋体"/>
                <w:kern w:val="0"/>
                <w:sz w:val="18"/>
                <w:szCs w:val="18"/>
              </w:rPr>
              <w:t>预期目标</w:t>
            </w:r>
          </w:p>
        </w:tc>
        <w:tc>
          <w:tcPr>
            <w:tcW w:w="2612"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8812" w:hRule="exact"/>
          <w:jc w:val="center"/>
        </w:trPr>
        <w:tc>
          <w:tcPr>
            <w:tcW w:w="6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33" w:type="dxa"/>
            <w:gridSpan w:val="7"/>
            <w:tcBorders>
              <w:top w:val="single" w:color="auto" w:sz="4" w:space="0"/>
              <w:left w:val="nil"/>
              <w:bottom w:val="single" w:color="auto" w:sz="4" w:space="0"/>
              <w:right w:val="single" w:color="auto" w:sz="4" w:space="0"/>
            </w:tcBorders>
            <w:noWrap w:val="0"/>
            <w:vAlign w:val="center"/>
          </w:tcPr>
          <w:p>
            <w:pPr>
              <w:widowControl/>
              <w:numPr>
                <w:ilvl w:val="0"/>
                <w:numId w:val="1"/>
              </w:numPr>
              <w:tabs>
                <w:tab w:val="left" w:pos="1143"/>
              </w:tabs>
              <w:spacing w:line="240" w:lineRule="exact"/>
              <w:ind w:firstLine="360" w:firstLineChars="200"/>
              <w:jc w:val="left"/>
              <w:rPr>
                <w:rFonts w:hint="eastAsia" w:ascii="宋体" w:hAnsi="宋体" w:cs="宋体"/>
                <w:kern w:val="0"/>
                <w:sz w:val="18"/>
                <w:szCs w:val="18"/>
              </w:rPr>
            </w:pPr>
            <w:r>
              <w:rPr>
                <w:rFonts w:hint="eastAsia" w:ascii="宋体" w:hAnsi="宋体" w:cs="宋体"/>
                <w:kern w:val="0"/>
                <w:sz w:val="18"/>
                <w:szCs w:val="18"/>
              </w:rPr>
              <w:t>北京学者计划：我院王刚院长入选2022-2027年度北京学者计划，在培养周期内，资助金额为每年100万元。培养经费用于北京学者进行科学研究、聘请学术导师和助手、出版学术专著、开展学术交流、进行学术访问等。</w:t>
            </w:r>
          </w:p>
          <w:p>
            <w:pPr>
              <w:widowControl/>
              <w:numPr>
                <w:ilvl w:val="0"/>
                <w:numId w:val="0"/>
              </w:numPr>
              <w:tabs>
                <w:tab w:val="left" w:pos="1143"/>
              </w:tabs>
              <w:spacing w:line="240" w:lineRule="exact"/>
              <w:ind w:firstLine="180" w:firstLineChars="100"/>
              <w:jc w:val="left"/>
              <w:rPr>
                <w:rFonts w:hint="eastAsia" w:ascii="宋体" w:hAnsi="宋体" w:eastAsia="宋体" w:cs="宋体"/>
                <w:kern w:val="0"/>
                <w:sz w:val="18"/>
                <w:szCs w:val="18"/>
                <w:lang w:eastAsia="zh-CN"/>
              </w:rPr>
            </w:pPr>
            <w:r>
              <w:rPr>
                <w:rFonts w:hint="eastAsia" w:ascii="宋体" w:hAnsi="宋体" w:cs="宋体"/>
                <w:kern w:val="0"/>
                <w:sz w:val="18"/>
                <w:szCs w:val="18"/>
              </w:rPr>
              <w:t>（二）第三期登峰、使命人才培养：本项目自2020年至2023年周期内，项目总金额23.128万元。本项目以精神分裂症和情感障碍两个精神科最重要的疾病为突破口，整合北京安定医院中医精神科和西医精神分裂症、情感病各个科室的优势资源，吸引和聚集中医精神科优秀人才，以学科交融为出发点，以中医理论和临床研究方法为基础，结合西医精神科和现代科学各种手段，完善基于五神藏理论的以精神症状为主的中医精神辨治新方法，开展具有五神藏特征的精神分裂症和情感病的辨证论治规范和临床疗效研究，完善防治方案和方法，建立科学规范的评价体系，提高中医情志病的防治水平，丰富和发展中医药理论和实践。并通过学科建设，培养一批中西医结合学科带头人和科技骨干，团队成员2-3人成为中西医结合硕士生导师，将北京安定医院中西医结合科建设成为北京市乃至全国精神疾病防治的高水平科学研究基地和学术活动中心，促进北京市中西医结合精神病学整体水平的提高。                                                                                               本年度内将完成完成精神分裂症、双相情感障碍证候分型诊断量表方证对应研究，明确二者的理法方药体系，制定出精神分裂症、双相情感障碍中医辨证论治诊疗规范，完成我院中医门诊就诊的精神分裂症、双相情感障碍病人的50%、住院病人接受中医治疗的80%，纳入到中医辨证论治的规范化临床路径管理中。完成益肾平肝方治疗精神分裂症前驱期的作用机制研究工作；完成主办或协办国内外专业学术会议1～2个，在全国范围内开展精神病中医五神辨治培训班，引进学科带头人1名，青年骨干1-2人，国内学术任职增加副主任委员1-2名。（三）青苗计划：青苗计划为市医管局系统青年人才的成长搭建科学研究发展平台，以项目资助和模块化培训为主要手段，培养出一批基础扎实、技术领先、德才兼备、用于创新的青年人才队伍，提高临床研究、科研项目申报、科研管理、SCI医学论文写作等方面的能力，为市属医院系统学科的可持续发展和个人成长提供空间。2023年发表学术论文3篇以上。</w:t>
            </w:r>
          </w:p>
        </w:tc>
        <w:tc>
          <w:tcPr>
            <w:tcW w:w="3335"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lang w:val="en-US" w:eastAsia="zh-CN"/>
              </w:rPr>
              <w:t>1、</w:t>
            </w:r>
            <w:r>
              <w:rPr>
                <w:rFonts w:hint="eastAsia" w:ascii="宋体" w:hAnsi="宋体" w:cs="宋体"/>
                <w:kern w:val="0"/>
                <w:sz w:val="18"/>
                <w:szCs w:val="18"/>
              </w:rPr>
              <w:t>202</w:t>
            </w:r>
            <w:r>
              <w:rPr>
                <w:rFonts w:hint="eastAsia" w:ascii="宋体" w:hAnsi="宋体" w:cs="宋体"/>
                <w:kern w:val="0"/>
                <w:sz w:val="18"/>
                <w:szCs w:val="18"/>
                <w:lang w:val="en-US" w:eastAsia="zh-CN"/>
              </w:rPr>
              <w:t>3</w:t>
            </w:r>
            <w:r>
              <w:rPr>
                <w:rFonts w:hint="eastAsia" w:ascii="宋体" w:hAnsi="宋体" w:cs="宋体"/>
                <w:kern w:val="0"/>
                <w:sz w:val="18"/>
                <w:szCs w:val="18"/>
              </w:rPr>
              <w:t>年发表学术论文</w:t>
            </w:r>
            <w:r>
              <w:rPr>
                <w:rFonts w:hint="eastAsia" w:ascii="宋体" w:hAnsi="宋体" w:cs="宋体"/>
                <w:kern w:val="0"/>
                <w:sz w:val="18"/>
                <w:szCs w:val="18"/>
                <w:lang w:val="en-US" w:eastAsia="zh-CN"/>
              </w:rPr>
              <w:t>4</w:t>
            </w:r>
            <w:r>
              <w:rPr>
                <w:rFonts w:hint="eastAsia" w:ascii="宋体" w:hAnsi="宋体" w:cs="宋体"/>
                <w:kern w:val="0"/>
                <w:sz w:val="18"/>
                <w:szCs w:val="18"/>
              </w:rPr>
              <w:t>篇</w:t>
            </w:r>
            <w:r>
              <w:rPr>
                <w:rFonts w:hint="eastAsia" w:ascii="宋体" w:hAnsi="宋体" w:cs="宋体"/>
                <w:kern w:val="0"/>
                <w:sz w:val="18"/>
                <w:szCs w:val="18"/>
                <w:lang w:eastAsia="zh-CN"/>
              </w:rPr>
              <w:t>，支出总经费</w:t>
            </w:r>
            <w:r>
              <w:rPr>
                <w:rFonts w:hint="eastAsia" w:ascii="宋体" w:hAnsi="宋体" w:cs="宋体"/>
                <w:kern w:val="0"/>
                <w:sz w:val="18"/>
                <w:szCs w:val="18"/>
                <w:lang w:val="en-US" w:eastAsia="zh-CN"/>
              </w:rPr>
              <w:t>106万元，全部为财政经费，执行率100%</w:t>
            </w:r>
            <w:r>
              <w:rPr>
                <w:rFonts w:hint="eastAsia" w:ascii="宋体" w:hAnsi="宋体" w:cs="宋体"/>
                <w:kern w:val="0"/>
                <w:sz w:val="18"/>
                <w:szCs w:val="18"/>
              </w:rPr>
              <w:t>。按目标执行</w:t>
            </w:r>
          </w:p>
          <w:p>
            <w:pPr>
              <w:pStyle w:val="7"/>
              <w:widowControl/>
              <w:numPr>
                <w:ilvl w:val="0"/>
                <w:numId w:val="0"/>
              </w:numPr>
              <w:spacing w:line="240" w:lineRule="exact"/>
              <w:ind w:leftChars="0"/>
              <w:jc w:val="left"/>
              <w:rPr>
                <w:rFonts w:ascii="宋体" w:hAnsi="宋体" w:cs="宋体"/>
                <w:kern w:val="0"/>
                <w:sz w:val="18"/>
                <w:szCs w:val="18"/>
              </w:rPr>
            </w:pPr>
            <w:r>
              <w:rPr>
                <w:rFonts w:hint="eastAsia" w:ascii="宋体" w:hAnsi="宋体" w:cs="宋体"/>
                <w:kern w:val="0"/>
                <w:sz w:val="18"/>
                <w:szCs w:val="18"/>
                <w:lang w:val="en-US" w:eastAsia="zh-CN"/>
              </w:rPr>
              <w:t>2、</w:t>
            </w:r>
            <w:r>
              <w:rPr>
                <w:rFonts w:hint="eastAsia" w:ascii="宋体" w:hAnsi="宋体" w:cs="宋体"/>
                <w:kern w:val="0"/>
                <w:sz w:val="18"/>
                <w:szCs w:val="18"/>
              </w:rPr>
              <w:t>已完成神分裂症、双相情感障碍证候分型诊断量表方证对应研究，相关结果以论文形式发表。</w:t>
            </w:r>
          </w:p>
          <w:p>
            <w:pPr>
              <w:pStyle w:val="7"/>
              <w:widowControl/>
              <w:numPr>
                <w:ilvl w:val="0"/>
                <w:numId w:val="0"/>
              </w:numPr>
              <w:spacing w:line="240" w:lineRule="exact"/>
              <w:ind w:leftChars="0"/>
              <w:jc w:val="left"/>
              <w:rPr>
                <w:rFonts w:ascii="宋体" w:hAnsi="宋体" w:cs="宋体"/>
                <w:kern w:val="0"/>
                <w:sz w:val="18"/>
                <w:szCs w:val="18"/>
              </w:rPr>
            </w:pPr>
            <w:r>
              <w:rPr>
                <w:rFonts w:hint="eastAsia" w:ascii="宋体" w:hAnsi="宋体" w:cs="宋体"/>
                <w:kern w:val="0"/>
                <w:sz w:val="18"/>
                <w:szCs w:val="18"/>
                <w:lang w:val="en-US" w:eastAsia="zh-CN"/>
              </w:rPr>
              <w:t>3、</w:t>
            </w:r>
            <w:r>
              <w:rPr>
                <w:rFonts w:hint="eastAsia" w:ascii="宋体" w:hAnsi="宋体" w:cs="宋体"/>
                <w:kern w:val="0"/>
                <w:sz w:val="18"/>
                <w:szCs w:val="18"/>
              </w:rPr>
              <w:t>联合全国制定精神系统疾病相关诊疗指南和中医证候标准，门诊、病房中医诊疗技术和中药使用率较去年增加。</w:t>
            </w:r>
          </w:p>
          <w:p>
            <w:pPr>
              <w:pStyle w:val="7"/>
              <w:widowControl/>
              <w:numPr>
                <w:ilvl w:val="0"/>
                <w:numId w:val="0"/>
              </w:numPr>
              <w:spacing w:line="240" w:lineRule="exact"/>
              <w:ind w:leftChars="0"/>
              <w:jc w:val="left"/>
              <w:rPr>
                <w:rFonts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完成益肾平肝方治疗精神分裂症前驱期的作用机制研究工作。</w:t>
            </w:r>
          </w:p>
          <w:p>
            <w:pPr>
              <w:pStyle w:val="7"/>
              <w:widowControl/>
              <w:numPr>
                <w:ilvl w:val="0"/>
                <w:numId w:val="0"/>
              </w:numPr>
              <w:spacing w:line="240" w:lineRule="exact"/>
              <w:ind w:leftChars="0"/>
              <w:jc w:val="left"/>
              <w:rPr>
                <w:rFonts w:ascii="宋体" w:hAnsi="宋体" w:cs="宋体"/>
                <w:kern w:val="0"/>
                <w:sz w:val="18"/>
                <w:szCs w:val="18"/>
              </w:rPr>
            </w:pPr>
            <w:r>
              <w:rPr>
                <w:rFonts w:hint="eastAsia" w:ascii="宋体" w:hAnsi="宋体" w:cs="宋体"/>
                <w:kern w:val="0"/>
                <w:sz w:val="18"/>
                <w:szCs w:val="18"/>
                <w:lang w:val="en-US" w:eastAsia="zh-CN"/>
              </w:rPr>
              <w:t>5、</w:t>
            </w:r>
            <w:r>
              <w:rPr>
                <w:rFonts w:hint="eastAsia" w:ascii="宋体" w:hAnsi="宋体" w:cs="宋体"/>
                <w:kern w:val="0"/>
                <w:sz w:val="18"/>
                <w:szCs w:val="18"/>
              </w:rPr>
              <w:t>全年组织申报课题15项，获批课题和项目 8 项。发表SCI论文11篇，中文核心论文12篇，其中卓越期刊3篇。出版专著1本，立项1本，完稿5本</w:t>
            </w:r>
          </w:p>
          <w:p>
            <w:pPr>
              <w:pStyle w:val="7"/>
              <w:widowControl/>
              <w:numPr>
                <w:ilvl w:val="0"/>
                <w:numId w:val="0"/>
              </w:numPr>
              <w:spacing w:line="240" w:lineRule="exact"/>
              <w:ind w:leftChars="0"/>
              <w:jc w:val="left"/>
              <w:rPr>
                <w:rFonts w:ascii="宋体" w:hAnsi="宋体" w:cs="宋体"/>
                <w:kern w:val="0"/>
                <w:sz w:val="18"/>
                <w:szCs w:val="18"/>
              </w:rPr>
            </w:pPr>
            <w:r>
              <w:rPr>
                <w:rFonts w:hint="eastAsia" w:ascii="宋体" w:hAnsi="宋体" w:cs="宋体"/>
                <w:kern w:val="0"/>
                <w:sz w:val="18"/>
                <w:szCs w:val="18"/>
                <w:lang w:val="en-US" w:eastAsia="zh-CN"/>
              </w:rPr>
              <w:t>6、</w:t>
            </w:r>
            <w:r>
              <w:rPr>
                <w:rFonts w:hint="eastAsia" w:ascii="宋体" w:hAnsi="宋体" w:cs="宋体"/>
                <w:kern w:val="0"/>
                <w:sz w:val="18"/>
                <w:szCs w:val="18"/>
              </w:rPr>
              <w:t>主办第北京中西医结合学会精神疾病专业委员会年会</w:t>
            </w:r>
          </w:p>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lang w:val="en-US" w:eastAsia="zh-CN"/>
              </w:rPr>
              <w:t>7、</w:t>
            </w:r>
            <w:r>
              <w:rPr>
                <w:rFonts w:hint="eastAsia" w:ascii="宋体" w:hAnsi="宋体" w:cs="宋体"/>
                <w:kern w:val="0"/>
                <w:sz w:val="18"/>
                <w:szCs w:val="18"/>
              </w:rPr>
              <w:t>开展精神病中医五神辨治培训班1次</w:t>
            </w:r>
          </w:p>
          <w:p>
            <w:pPr>
              <w:widowControl/>
              <w:spacing w:line="240" w:lineRule="exact"/>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8、</w:t>
            </w:r>
            <w:r>
              <w:rPr>
                <w:rFonts w:hint="eastAsia" w:ascii="宋体" w:hAnsi="宋体" w:cs="宋体"/>
                <w:kern w:val="0"/>
                <w:sz w:val="18"/>
                <w:szCs w:val="18"/>
              </w:rPr>
              <w:t>项目总金额</w:t>
            </w:r>
            <w:r>
              <w:rPr>
                <w:rFonts w:hint="eastAsia" w:ascii="宋体" w:hAnsi="宋体" w:cs="宋体"/>
                <w:kern w:val="0"/>
                <w:sz w:val="18"/>
                <w:szCs w:val="18"/>
                <w:lang w:val="en-US" w:eastAsia="zh-CN"/>
              </w:rPr>
              <w:t>124.07</w:t>
            </w:r>
            <w:r>
              <w:rPr>
                <w:rFonts w:hint="eastAsia" w:ascii="宋体" w:hAnsi="宋体" w:cs="宋体"/>
                <w:kern w:val="0"/>
                <w:sz w:val="18"/>
                <w:szCs w:val="18"/>
              </w:rPr>
              <w:t>万元，其中财政拨款</w:t>
            </w:r>
            <w:r>
              <w:rPr>
                <w:rFonts w:hint="eastAsia" w:ascii="宋体" w:hAnsi="宋体" w:cs="宋体"/>
                <w:kern w:val="0"/>
                <w:sz w:val="18"/>
                <w:szCs w:val="18"/>
                <w:lang w:val="en-US" w:eastAsia="zh-CN"/>
              </w:rPr>
              <w:t>124.07</w:t>
            </w:r>
            <w:r>
              <w:rPr>
                <w:rFonts w:hint="eastAsia" w:ascii="宋体" w:hAnsi="宋体" w:cs="宋体"/>
                <w:kern w:val="0"/>
                <w:sz w:val="18"/>
                <w:szCs w:val="18"/>
              </w:rPr>
              <w:t>万元，均按任务书预算完成，经费执行率达到100%。</w:t>
            </w:r>
          </w:p>
        </w:tc>
      </w:tr>
      <w:tr>
        <w:tblPrEx>
          <w:tblCellMar>
            <w:top w:w="0" w:type="dxa"/>
            <w:left w:w="108" w:type="dxa"/>
            <w:bottom w:w="0" w:type="dxa"/>
            <w:right w:w="108" w:type="dxa"/>
          </w:tblCellMar>
        </w:tblPrEx>
        <w:trPr>
          <w:trHeight w:val="866" w:hRule="exact"/>
          <w:jc w:val="center"/>
        </w:trPr>
        <w:tc>
          <w:tcPr>
            <w:tcW w:w="6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2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lang w:eastAsia="zh-CN"/>
              </w:rPr>
              <w:t>发表文章</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rPr>
              <w:t>24</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highlight w:val="none"/>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我院及项目所在学科团队对项目执行和团队人才培养的重视程度不断增加，项目负责人及团队成员整体科研能力和实力不断增强，本年内发表文章数量较多</w:t>
            </w:r>
          </w:p>
        </w:tc>
      </w:tr>
      <w:tr>
        <w:tblPrEx>
          <w:tblCellMar>
            <w:top w:w="0" w:type="dxa"/>
            <w:left w:w="108" w:type="dxa"/>
            <w:bottom w:w="0" w:type="dxa"/>
            <w:right w:w="108" w:type="dxa"/>
          </w:tblCellMar>
        </w:tblPrEx>
        <w:trPr>
          <w:trHeight w:val="60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撰写报告（青苗计划）</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p>
        </w:tc>
      </w:tr>
      <w:tr>
        <w:tblPrEx>
          <w:tblCellMar>
            <w:top w:w="0" w:type="dxa"/>
            <w:left w:w="108" w:type="dxa"/>
            <w:bottom w:w="0" w:type="dxa"/>
            <w:right w:w="108" w:type="dxa"/>
          </w:tblCellMar>
        </w:tblPrEx>
        <w:trPr>
          <w:trHeight w:val="465"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按任务书进度要求执行</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4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聘请相同研究领域的专家委员会委员或其他知名专家担任学术导师</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bidi="ar-SA"/>
              </w:rPr>
              <w:t>2</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5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北京学者每年应向协调小组书面报告科研项目进展、科研团队建设等工作情况</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rPr>
              <w:t>设立北京学者工作室</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lang w:val="en-US" w:eastAsia="zh-CN"/>
              </w:rPr>
            </w:pPr>
            <w:r>
              <w:rPr>
                <w:rFonts w:hint="eastAsia" w:ascii="宋体" w:hAnsi="宋体" w:cs="宋体"/>
                <w:color w:val="000000"/>
                <w:kern w:val="0"/>
                <w:sz w:val="18"/>
                <w:szCs w:val="18"/>
              </w:rPr>
              <w:t>产出著作-学术论著</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1</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lang w:val="en-US" w:eastAsia="zh-CN"/>
              </w:rPr>
            </w:pPr>
            <w:r>
              <w:rPr>
                <w:rFonts w:hint="eastAsia" w:ascii="宋体" w:hAnsi="宋体" w:cs="宋体"/>
                <w:color w:val="000000"/>
                <w:kern w:val="0"/>
                <w:sz w:val="18"/>
                <w:szCs w:val="18"/>
              </w:rPr>
              <w:t>产出文章-中文核心期刊论文</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12</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lang w:val="en-US" w:eastAsia="zh-CN"/>
              </w:rPr>
            </w:pPr>
            <w:r>
              <w:rPr>
                <w:rFonts w:hint="eastAsia" w:ascii="宋体" w:hAnsi="宋体" w:cs="宋体"/>
                <w:color w:val="000000"/>
                <w:kern w:val="0"/>
                <w:sz w:val="18"/>
                <w:szCs w:val="18"/>
              </w:rPr>
              <w:t>产出文章-SCI论文</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11</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完成项目进度的90%</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11</w:t>
            </w:r>
            <w:r>
              <w:rPr>
                <w:rFonts w:hint="eastAsia" w:ascii="宋体" w:hAnsi="宋体" w:cs="宋体"/>
                <w:kern w:val="0"/>
                <w:sz w:val="18"/>
                <w:szCs w:val="18"/>
                <w:lang w:val="en-US" w:eastAsia="zh-CN"/>
              </w:rPr>
              <w:t>月内</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11</w:t>
            </w:r>
            <w:r>
              <w:rPr>
                <w:rFonts w:hint="eastAsia" w:ascii="宋体" w:hAnsi="宋体" w:cs="宋体"/>
                <w:kern w:val="0"/>
                <w:sz w:val="18"/>
                <w:szCs w:val="18"/>
                <w:lang w:val="en-US" w:eastAsia="zh-CN"/>
              </w:rPr>
              <w:t>月内</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75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对医院优秀的青年技术人才进行重点培养，与北京市人才项目相衔接，取得副高级专业技术职称，初步形成研究团队</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7人职称得到晋升，其中4人晋升至副高级职称</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95"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项目对中西医结合精神医学领域人才培养，提高精神疾病治疗的国内影响力，推动医院发展和学科建设工作的影响，医院对团队影响力评分</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35"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提高医院对人才培养、学科建设工作的重视程度</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35"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人才、学科可持续发展，医院对中西医结合精神病学科发展力评分</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4</w:t>
            </w:r>
            <w:r>
              <w:rPr>
                <w:rFonts w:hint="eastAsia" w:ascii="宋体" w:hAnsi="宋体" w:cs="宋体"/>
                <w:kern w:val="0"/>
                <w:sz w:val="18"/>
                <w:szCs w:val="18"/>
              </w:rPr>
              <w:t>.5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45"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rPr>
              <w:t>医院及学科带头人满意度</w:t>
            </w:r>
          </w:p>
        </w:tc>
        <w:tc>
          <w:tcPr>
            <w:tcW w:w="85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bookmarkStart w:id="0" w:name="_GoBack"/>
            <w:bookmarkEnd w:id="0"/>
            <w:r>
              <w:rPr>
                <w:rFonts w:hint="eastAsia" w:ascii="宋体" w:hAnsi="宋体" w:cs="宋体"/>
                <w:kern w:val="0"/>
                <w:sz w:val="18"/>
                <w:szCs w:val="18"/>
                <w:lang w:val="en-US" w:eastAsia="zh-CN"/>
              </w:rPr>
              <w:t>100%</w:t>
            </w:r>
          </w:p>
        </w:tc>
        <w:tc>
          <w:tcPr>
            <w:tcW w:w="5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5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90" w:hRule="exact"/>
          <w:jc w:val="center"/>
        </w:trPr>
        <w:tc>
          <w:tcPr>
            <w:tcW w:w="6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医院及团队成员满意度</w:t>
            </w:r>
          </w:p>
        </w:tc>
        <w:tc>
          <w:tcPr>
            <w:tcW w:w="85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cs="宋体"/>
                <w:kern w:val="0"/>
                <w:sz w:val="18"/>
                <w:szCs w:val="18"/>
              </w:rPr>
              <w:t>90</w:t>
            </w:r>
            <w:r>
              <w:rPr>
                <w:rFonts w:hint="eastAsia" w:ascii="宋体" w:hAnsi="宋体" w:cs="宋体"/>
                <w:kern w:val="0"/>
                <w:sz w:val="18"/>
                <w:szCs w:val="18"/>
                <w:lang w:val="en-US" w:eastAsia="zh-CN"/>
              </w:rPr>
              <w:t>%</w:t>
            </w:r>
          </w:p>
        </w:tc>
        <w:tc>
          <w:tcPr>
            <w:tcW w:w="82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100</w:t>
            </w:r>
            <w:r>
              <w:rPr>
                <w:rFonts w:hint="eastAsia" w:ascii="宋体" w:hAnsi="宋体" w:cs="宋体"/>
                <w:kern w:val="0"/>
                <w:sz w:val="18"/>
                <w:szCs w:val="18"/>
                <w:lang w:val="en-US" w:eastAsia="zh-CN"/>
              </w:rPr>
              <w:t>%</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4.5</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60" w:hRule="exact"/>
          <w:jc w:val="center"/>
        </w:trPr>
        <w:tc>
          <w:tcPr>
            <w:tcW w:w="6545" w:type="dxa"/>
            <w:gridSpan w:val="10"/>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9"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hint="eastAsia"/>
          <w:lang w:val="en-US" w:eastAsia="zh-CN"/>
        </w:rPr>
      </w:pP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069C19"/>
    <w:multiLevelType w:val="singleLevel"/>
    <w:tmpl w:val="4F069C1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167401F"/>
    <w:rsid w:val="07723A46"/>
    <w:rsid w:val="0E5B5530"/>
    <w:rsid w:val="0EF56F52"/>
    <w:rsid w:val="12E87646"/>
    <w:rsid w:val="1AB1591B"/>
    <w:rsid w:val="1C46568C"/>
    <w:rsid w:val="28FF42C9"/>
    <w:rsid w:val="3E3C071B"/>
    <w:rsid w:val="63872CC8"/>
    <w:rsid w:val="65053A24"/>
    <w:rsid w:val="69307AD5"/>
    <w:rsid w:val="6E7838C8"/>
    <w:rsid w:val="7F2D4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赵洁</cp:lastModifiedBy>
  <dcterms:modified xsi:type="dcterms:W3CDTF">2024-05-09T00:26:11Z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F03ACE3CE6D146728D76A4A7EDF0ACF2_11</vt:lpwstr>
  </property>
</Properties>
</file>