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88" w:type="pct"/>
        <w:jc w:val="center"/>
        <w:tblLayout w:type="fixed"/>
        <w:tblLook w:val="04A0" w:firstRow="1" w:lastRow="0" w:firstColumn="1" w:lastColumn="0" w:noHBand="0" w:noVBand="1"/>
      </w:tblPr>
      <w:tblGrid>
        <w:gridCol w:w="601"/>
        <w:gridCol w:w="543"/>
        <w:gridCol w:w="724"/>
        <w:gridCol w:w="1166"/>
        <w:gridCol w:w="1309"/>
        <w:gridCol w:w="1071"/>
        <w:gridCol w:w="814"/>
        <w:gridCol w:w="272"/>
        <w:gridCol w:w="342"/>
        <w:gridCol w:w="444"/>
        <w:gridCol w:w="575"/>
        <w:gridCol w:w="641"/>
      </w:tblGrid>
      <w:tr w:rsidR="00C63EBD">
        <w:trPr>
          <w:trHeight w:hRule="exact" w:val="440"/>
          <w:jc w:val="center"/>
        </w:trPr>
        <w:tc>
          <w:tcPr>
            <w:tcW w:w="5000" w:type="pct"/>
            <w:gridSpan w:val="12"/>
            <w:tcBorders>
              <w:top w:val="nil"/>
              <w:left w:val="nil"/>
              <w:bottom w:val="nil"/>
              <w:right w:val="nil"/>
            </w:tcBorders>
            <w:vAlign w:val="center"/>
          </w:tcPr>
          <w:p w:rsidR="00C63EBD" w:rsidRDefault="00000000">
            <w:pPr>
              <w:widowControl/>
              <w:spacing w:line="320" w:lineRule="exact"/>
              <w:jc w:val="center"/>
              <w:rPr>
                <w:rFonts w:ascii="宋体" w:hAnsi="宋体" w:cs="宋体"/>
                <w:b/>
                <w:bCs/>
                <w:kern w:val="0"/>
                <w:sz w:val="32"/>
                <w:szCs w:val="32"/>
              </w:rPr>
            </w:pPr>
            <w:r>
              <w:rPr>
                <w:rFonts w:ascii="宋体" w:hAnsi="宋体" w:cs="宋体" w:hint="eastAsia"/>
                <w:b/>
                <w:bCs/>
                <w:kern w:val="0"/>
                <w:sz w:val="32"/>
                <w:szCs w:val="32"/>
              </w:rPr>
              <w:t>项目支出绩效自评表</w:t>
            </w:r>
          </w:p>
        </w:tc>
      </w:tr>
      <w:tr w:rsidR="00C63EBD">
        <w:trPr>
          <w:trHeight w:val="194"/>
          <w:jc w:val="center"/>
        </w:trPr>
        <w:tc>
          <w:tcPr>
            <w:tcW w:w="5000" w:type="pct"/>
            <w:gridSpan w:val="12"/>
            <w:tcBorders>
              <w:top w:val="nil"/>
              <w:left w:val="nil"/>
              <w:bottom w:val="nil"/>
              <w:right w:val="nil"/>
            </w:tcBorders>
          </w:tcPr>
          <w:p w:rsidR="00C63EBD" w:rsidRDefault="00000000">
            <w:pPr>
              <w:widowControl/>
              <w:jc w:val="center"/>
              <w:rPr>
                <w:rFonts w:ascii="宋体" w:hAnsi="宋体" w:cs="宋体"/>
                <w:kern w:val="0"/>
                <w:sz w:val="22"/>
              </w:rPr>
            </w:pPr>
            <w:r>
              <w:rPr>
                <w:rFonts w:ascii="宋体" w:hAnsi="宋体" w:cs="宋体" w:hint="eastAsia"/>
                <w:kern w:val="0"/>
                <w:sz w:val="22"/>
              </w:rPr>
              <w:t>（2023年度）</w:t>
            </w:r>
          </w:p>
        </w:tc>
      </w:tr>
      <w:tr w:rsidR="00C63EBD">
        <w:trPr>
          <w:trHeight w:hRule="exact" w:val="291"/>
          <w:jc w:val="center"/>
        </w:trPr>
        <w:tc>
          <w:tcPr>
            <w:tcW w:w="672"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项目名称</w:t>
            </w:r>
          </w:p>
        </w:tc>
        <w:tc>
          <w:tcPr>
            <w:tcW w:w="4327" w:type="pct"/>
            <w:gridSpan w:val="10"/>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回龙观医院医学学科发展</w:t>
            </w:r>
          </w:p>
        </w:tc>
      </w:tr>
      <w:tr w:rsidR="00C63EBD">
        <w:trPr>
          <w:trHeight w:hRule="exact" w:val="291"/>
          <w:jc w:val="center"/>
        </w:trPr>
        <w:tc>
          <w:tcPr>
            <w:tcW w:w="672"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主管部门</w:t>
            </w:r>
          </w:p>
        </w:tc>
        <w:tc>
          <w:tcPr>
            <w:tcW w:w="2512" w:type="pct"/>
            <w:gridSpan w:val="4"/>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北京市医院管理中心</w:t>
            </w:r>
          </w:p>
        </w:tc>
        <w:tc>
          <w:tcPr>
            <w:tcW w:w="479"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实施单位</w:t>
            </w:r>
          </w:p>
        </w:tc>
        <w:tc>
          <w:tcPr>
            <w:tcW w:w="1335" w:type="pct"/>
            <w:gridSpan w:val="5"/>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北京回龙观医院</w:t>
            </w:r>
          </w:p>
        </w:tc>
      </w:tr>
      <w:tr w:rsidR="00C63EBD">
        <w:trPr>
          <w:trHeight w:hRule="exact" w:val="291"/>
          <w:jc w:val="center"/>
        </w:trPr>
        <w:tc>
          <w:tcPr>
            <w:tcW w:w="672"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项目</w:t>
            </w:r>
            <w:r>
              <w:rPr>
                <w:rFonts w:ascii="宋体" w:hAnsi="宋体" w:cs="宋体"/>
                <w:kern w:val="0"/>
                <w:sz w:val="18"/>
                <w:szCs w:val="18"/>
              </w:rPr>
              <w:t>负责人</w:t>
            </w:r>
          </w:p>
        </w:tc>
        <w:tc>
          <w:tcPr>
            <w:tcW w:w="2512" w:type="pct"/>
            <w:gridSpan w:val="4"/>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童永胜、王志仁、陈景旭</w:t>
            </w:r>
          </w:p>
        </w:tc>
        <w:tc>
          <w:tcPr>
            <w:tcW w:w="479"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联系电话</w:t>
            </w:r>
          </w:p>
        </w:tc>
        <w:tc>
          <w:tcPr>
            <w:tcW w:w="1335" w:type="pct"/>
            <w:gridSpan w:val="5"/>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83024390</w:t>
            </w:r>
          </w:p>
        </w:tc>
      </w:tr>
      <w:tr w:rsidR="00C63EBD">
        <w:trPr>
          <w:trHeight w:hRule="exact" w:val="644"/>
          <w:jc w:val="center"/>
        </w:trPr>
        <w:tc>
          <w:tcPr>
            <w:tcW w:w="672" w:type="pct"/>
            <w:gridSpan w:val="2"/>
            <w:vMerge w:val="restar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项目资金</w:t>
            </w:r>
            <w:r>
              <w:rPr>
                <w:rFonts w:ascii="宋体" w:hAnsi="宋体" w:cs="宋体" w:hint="eastAsia"/>
                <w:kern w:val="0"/>
                <w:sz w:val="18"/>
                <w:szCs w:val="18"/>
              </w:rPr>
              <w:br/>
              <w:t>（万元）</w:t>
            </w:r>
          </w:p>
        </w:tc>
        <w:tc>
          <w:tcPr>
            <w:tcW w:w="1112"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770"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年初预算数</w:t>
            </w:r>
          </w:p>
        </w:tc>
        <w:tc>
          <w:tcPr>
            <w:tcW w:w="630"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全年预算数</w:t>
            </w:r>
          </w:p>
        </w:tc>
        <w:tc>
          <w:tcPr>
            <w:tcW w:w="479"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全年执行数</w:t>
            </w:r>
          </w:p>
        </w:tc>
        <w:tc>
          <w:tcPr>
            <w:tcW w:w="622" w:type="pct"/>
            <w:gridSpan w:val="3"/>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338" w:type="pct"/>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执行率</w:t>
            </w:r>
          </w:p>
        </w:tc>
        <w:tc>
          <w:tcPr>
            <w:tcW w:w="374"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r>
      <w:tr w:rsidR="00C63EBD">
        <w:trPr>
          <w:trHeight w:hRule="exact" w:val="327"/>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112" w:type="pct"/>
            <w:gridSpan w:val="2"/>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rPr>
                <w:rFonts w:ascii="宋体" w:hAnsi="宋体" w:cs="宋体"/>
                <w:kern w:val="0"/>
                <w:sz w:val="18"/>
                <w:szCs w:val="18"/>
              </w:rPr>
            </w:pPr>
            <w:r>
              <w:rPr>
                <w:rFonts w:ascii="宋体" w:hAnsi="宋体" w:cs="宋体" w:hint="eastAsia"/>
                <w:kern w:val="0"/>
                <w:sz w:val="18"/>
                <w:szCs w:val="18"/>
              </w:rPr>
              <w:t>年度资金总额</w:t>
            </w:r>
          </w:p>
        </w:tc>
        <w:tc>
          <w:tcPr>
            <w:tcW w:w="77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hint="eastAsia"/>
              </w:rPr>
              <w:t>59.09</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hint="eastAsia"/>
              </w:rPr>
              <w:t>59.09</w:t>
            </w:r>
          </w:p>
        </w:tc>
        <w:tc>
          <w:tcPr>
            <w:tcW w:w="479"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hint="eastAsia"/>
              </w:rPr>
              <w:t>59.09</w:t>
            </w:r>
          </w:p>
        </w:tc>
        <w:tc>
          <w:tcPr>
            <w:tcW w:w="622" w:type="pct"/>
            <w:gridSpan w:val="3"/>
            <w:tcBorders>
              <w:top w:val="nil"/>
              <w:left w:val="nil"/>
              <w:bottom w:val="single" w:sz="4" w:space="0" w:color="auto"/>
              <w:right w:val="single" w:sz="4" w:space="0" w:color="auto"/>
            </w:tcBorders>
            <w:vAlign w:val="center"/>
          </w:tcPr>
          <w:p w:rsidR="00C63EBD" w:rsidRDefault="00000000">
            <w:pPr>
              <w:widowControl/>
              <w:jc w:val="center"/>
              <w:textAlignment w:val="center"/>
            </w:pPr>
            <w:r>
              <w:rPr>
                <w:rFonts w:hint="eastAsia"/>
              </w:rPr>
              <w:t>10</w:t>
            </w:r>
          </w:p>
        </w:tc>
        <w:tc>
          <w:tcPr>
            <w:tcW w:w="338"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hint="eastAsia"/>
              </w:rPr>
              <w:t>100%</w:t>
            </w:r>
          </w:p>
        </w:tc>
        <w:tc>
          <w:tcPr>
            <w:tcW w:w="374" w:type="pct"/>
            <w:tcBorders>
              <w:top w:val="nil"/>
              <w:left w:val="nil"/>
              <w:bottom w:val="single" w:sz="4" w:space="0" w:color="auto"/>
              <w:right w:val="single" w:sz="4" w:space="0" w:color="auto"/>
            </w:tcBorders>
            <w:vAlign w:val="center"/>
          </w:tcPr>
          <w:p w:rsidR="00C63EBD" w:rsidRDefault="00000000">
            <w:pPr>
              <w:widowControl/>
              <w:jc w:val="center"/>
              <w:textAlignment w:val="center"/>
            </w:pPr>
            <w:r>
              <w:rPr>
                <w:rFonts w:hint="eastAsia"/>
              </w:rPr>
              <w:t>10</w:t>
            </w:r>
          </w:p>
        </w:tc>
      </w:tr>
      <w:tr w:rsidR="00C63EBD">
        <w:trPr>
          <w:trHeight w:hRule="exact" w:val="291"/>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112" w:type="pct"/>
            <w:gridSpan w:val="2"/>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其中：当年财政拨款</w:t>
            </w:r>
          </w:p>
        </w:tc>
        <w:tc>
          <w:tcPr>
            <w:tcW w:w="77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hint="eastAsia"/>
              </w:rPr>
              <w:t>59.09</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hint="eastAsia"/>
              </w:rPr>
              <w:t>59.09</w:t>
            </w:r>
          </w:p>
        </w:tc>
        <w:tc>
          <w:tcPr>
            <w:tcW w:w="479"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hint="eastAsia"/>
              </w:rPr>
              <w:t>59.09</w:t>
            </w:r>
          </w:p>
        </w:tc>
        <w:tc>
          <w:tcPr>
            <w:tcW w:w="622" w:type="pct"/>
            <w:gridSpan w:val="3"/>
            <w:tcBorders>
              <w:top w:val="nil"/>
              <w:left w:val="nil"/>
              <w:bottom w:val="single" w:sz="4" w:space="0" w:color="auto"/>
              <w:right w:val="single" w:sz="4" w:space="0" w:color="auto"/>
            </w:tcBorders>
            <w:vAlign w:val="center"/>
          </w:tcPr>
          <w:p w:rsidR="00C63EBD" w:rsidRDefault="00000000">
            <w:pPr>
              <w:widowControl/>
              <w:jc w:val="center"/>
              <w:textAlignment w:val="center"/>
            </w:pPr>
            <w:r>
              <w:rPr>
                <w:rFonts w:hint="eastAsia"/>
              </w:rPr>
              <w:t>10</w:t>
            </w:r>
          </w:p>
        </w:tc>
        <w:tc>
          <w:tcPr>
            <w:tcW w:w="338"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hint="eastAsia"/>
              </w:rPr>
              <w:t>100%</w:t>
            </w:r>
          </w:p>
        </w:tc>
        <w:tc>
          <w:tcPr>
            <w:tcW w:w="374" w:type="pct"/>
            <w:tcBorders>
              <w:top w:val="nil"/>
              <w:left w:val="nil"/>
              <w:bottom w:val="single" w:sz="4" w:space="0" w:color="auto"/>
              <w:right w:val="single" w:sz="4" w:space="0" w:color="auto"/>
            </w:tcBorders>
            <w:vAlign w:val="center"/>
          </w:tcPr>
          <w:p w:rsidR="00C63EBD" w:rsidRDefault="00000000">
            <w:pPr>
              <w:widowControl/>
              <w:jc w:val="center"/>
              <w:textAlignment w:val="center"/>
            </w:pPr>
            <w:r>
              <w:rPr>
                <w:rFonts w:hint="eastAsia"/>
              </w:rPr>
              <w:t>10</w:t>
            </w:r>
          </w:p>
        </w:tc>
      </w:tr>
      <w:tr w:rsidR="00C63EBD">
        <w:trPr>
          <w:trHeight w:hRule="exact" w:val="291"/>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112" w:type="pct"/>
            <w:gridSpan w:val="2"/>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上年结转资金</w:t>
            </w:r>
          </w:p>
        </w:tc>
        <w:tc>
          <w:tcPr>
            <w:tcW w:w="770" w:type="pct"/>
            <w:tcBorders>
              <w:top w:val="nil"/>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630" w:type="pct"/>
            <w:tcBorders>
              <w:top w:val="nil"/>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79" w:type="pct"/>
            <w:tcBorders>
              <w:top w:val="nil"/>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622" w:type="pct"/>
            <w:gridSpan w:val="3"/>
            <w:tcBorders>
              <w:top w:val="nil"/>
              <w:left w:val="nil"/>
              <w:bottom w:val="single" w:sz="4" w:space="0" w:color="auto"/>
              <w:right w:val="single" w:sz="4" w:space="0" w:color="auto"/>
            </w:tcBorders>
            <w:vAlign w:val="center"/>
          </w:tcPr>
          <w:p w:rsidR="00C63EBD" w:rsidRDefault="00000000">
            <w:pPr>
              <w:widowControl/>
              <w:jc w:val="center"/>
              <w:textAlignment w:val="center"/>
            </w:pPr>
            <w:r>
              <w:rPr>
                <w:rFonts w:hint="eastAsia"/>
              </w:rPr>
              <w:t>—</w:t>
            </w:r>
          </w:p>
        </w:tc>
        <w:tc>
          <w:tcPr>
            <w:tcW w:w="338" w:type="pct"/>
            <w:tcBorders>
              <w:top w:val="single" w:sz="4" w:space="0" w:color="auto"/>
              <w:left w:val="nil"/>
              <w:bottom w:val="single" w:sz="4" w:space="0" w:color="auto"/>
              <w:right w:val="single" w:sz="4" w:space="0" w:color="auto"/>
            </w:tcBorders>
            <w:vAlign w:val="center"/>
          </w:tcPr>
          <w:p w:rsidR="00C63EBD" w:rsidRDefault="00C63EBD">
            <w:pPr>
              <w:widowControl/>
              <w:jc w:val="center"/>
              <w:textAlignment w:val="center"/>
            </w:pPr>
          </w:p>
        </w:tc>
        <w:tc>
          <w:tcPr>
            <w:tcW w:w="374" w:type="pct"/>
            <w:tcBorders>
              <w:top w:val="nil"/>
              <w:left w:val="nil"/>
              <w:bottom w:val="single" w:sz="4" w:space="0" w:color="auto"/>
              <w:right w:val="single" w:sz="4" w:space="0" w:color="auto"/>
            </w:tcBorders>
            <w:vAlign w:val="center"/>
          </w:tcPr>
          <w:p w:rsidR="00C63EBD" w:rsidRDefault="00000000">
            <w:pPr>
              <w:widowControl/>
              <w:jc w:val="center"/>
              <w:textAlignment w:val="center"/>
            </w:pPr>
            <w:r>
              <w:rPr>
                <w:rFonts w:hint="eastAsia"/>
              </w:rPr>
              <w:t>—</w:t>
            </w:r>
          </w:p>
        </w:tc>
      </w:tr>
      <w:tr w:rsidR="00C63EBD">
        <w:trPr>
          <w:trHeight w:hRule="exact" w:val="291"/>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112" w:type="pct"/>
            <w:gridSpan w:val="2"/>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 xml:space="preserve">  其他资金</w:t>
            </w:r>
          </w:p>
        </w:tc>
        <w:tc>
          <w:tcPr>
            <w:tcW w:w="770" w:type="pct"/>
            <w:tcBorders>
              <w:top w:val="nil"/>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630" w:type="pct"/>
            <w:tcBorders>
              <w:top w:val="nil"/>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79" w:type="pct"/>
            <w:tcBorders>
              <w:top w:val="nil"/>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622" w:type="pct"/>
            <w:gridSpan w:val="3"/>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c>
          <w:tcPr>
            <w:tcW w:w="338" w:type="pct"/>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74"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w:t>
            </w:r>
          </w:p>
        </w:tc>
      </w:tr>
      <w:tr w:rsidR="00C63EBD">
        <w:trPr>
          <w:trHeight w:hRule="exact" w:val="291"/>
          <w:jc w:val="center"/>
        </w:trPr>
        <w:tc>
          <w:tcPr>
            <w:tcW w:w="353" w:type="pct"/>
            <w:vMerge w:val="restart"/>
            <w:tcBorders>
              <w:top w:val="nil"/>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年度总体目标</w:t>
            </w:r>
          </w:p>
        </w:tc>
        <w:tc>
          <w:tcPr>
            <w:tcW w:w="2831" w:type="pct"/>
            <w:gridSpan w:val="5"/>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预期目标</w:t>
            </w:r>
          </w:p>
        </w:tc>
        <w:tc>
          <w:tcPr>
            <w:tcW w:w="1814" w:type="pct"/>
            <w:gridSpan w:val="6"/>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实际完成情况</w:t>
            </w:r>
          </w:p>
        </w:tc>
      </w:tr>
      <w:tr w:rsidR="00C63EBD">
        <w:trPr>
          <w:trHeight w:hRule="exact" w:val="3783"/>
          <w:jc w:val="center"/>
        </w:trPr>
        <w:tc>
          <w:tcPr>
            <w:tcW w:w="353" w:type="pct"/>
            <w:vMerge/>
            <w:tcBorders>
              <w:top w:val="nil"/>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2200" w:type="pct"/>
            <w:gridSpan w:val="4"/>
            <w:tcBorders>
              <w:top w:val="single" w:sz="4" w:space="0" w:color="auto"/>
              <w:left w:val="nil"/>
              <w:bottom w:val="single" w:sz="4" w:space="0" w:color="auto"/>
              <w:right w:val="single" w:sz="4" w:space="0" w:color="auto"/>
            </w:tcBorders>
            <w:vAlign w:val="center"/>
          </w:tcPr>
          <w:p w:rsidR="00C63EBD" w:rsidRPr="004A08F9" w:rsidRDefault="00000000" w:rsidP="004A08F9">
            <w:pPr>
              <w:widowControl/>
              <w:spacing w:line="240" w:lineRule="exact"/>
              <w:jc w:val="left"/>
              <w:textAlignment w:val="center"/>
              <w:rPr>
                <w:rFonts w:ascii="宋体" w:hAnsi="宋体" w:cs="宋体"/>
                <w:kern w:val="0"/>
                <w:sz w:val="15"/>
                <w:szCs w:val="15"/>
              </w:rPr>
            </w:pPr>
            <w:r w:rsidRPr="004A08F9">
              <w:rPr>
                <w:rFonts w:ascii="宋体" w:hAnsi="宋体" w:cs="宋体" w:hint="eastAsia"/>
                <w:color w:val="000000"/>
                <w:kern w:val="0"/>
                <w:sz w:val="15"/>
                <w:szCs w:val="15"/>
                <w:lang w:bidi="ar"/>
              </w:rPr>
              <w:t>1.童永胜：通过开展自杀预防领域临床技术研发及成果推广、心理援助热线领域培训与教学、心理危机干预领域学术交流和合作平台建设等工作，完成1项课题，开始1项课题的模型研制工作。</w:t>
            </w:r>
            <w:r w:rsidRPr="004A08F9">
              <w:rPr>
                <w:rFonts w:ascii="宋体" w:hAnsi="宋体" w:cs="宋体" w:hint="eastAsia"/>
                <w:color w:val="000000"/>
                <w:kern w:val="0"/>
                <w:sz w:val="15"/>
                <w:szCs w:val="15"/>
                <w:lang w:bidi="ar"/>
              </w:rPr>
              <w:br/>
              <w:t>2、王志仁：随机双盲对照研究的末阶段：完成20例患者的入组和随访，各项评估。完成治疗随访及评估，以及数据收集、整理，被试随访和数据收集，治疗前后数据统计分析，完成随访数据统计分析和论文撰写。</w:t>
            </w:r>
            <w:r w:rsidRPr="004A08F9">
              <w:rPr>
                <w:rFonts w:ascii="宋体" w:hAnsi="宋体" w:cs="宋体" w:hint="eastAsia"/>
                <w:color w:val="000000"/>
                <w:kern w:val="0"/>
                <w:sz w:val="15"/>
                <w:szCs w:val="15"/>
                <w:lang w:bidi="ar"/>
              </w:rPr>
              <w:br/>
              <w:t>3、陈景旭：开发失眠认知行为疗法（CBT-I）管理系统；完成150例受试者的入组（其中CBT-I组100例、对照组50例），采用网络化CBT-I管理系统对缓解期抑郁症（MDD）伴失眠患者进行干预，验证网络化CBT-I 对这类患者失眠的临床疗效，完成随访、数据分析和论文撰写。</w:t>
            </w:r>
          </w:p>
        </w:tc>
        <w:tc>
          <w:tcPr>
            <w:tcW w:w="2445" w:type="pct"/>
            <w:gridSpan w:val="7"/>
            <w:tcBorders>
              <w:top w:val="single" w:sz="4" w:space="0" w:color="auto"/>
              <w:left w:val="nil"/>
              <w:bottom w:val="single" w:sz="4" w:space="0" w:color="auto"/>
              <w:right w:val="single" w:sz="4" w:space="0" w:color="auto"/>
            </w:tcBorders>
            <w:vAlign w:val="center"/>
          </w:tcPr>
          <w:p w:rsidR="00C63EBD" w:rsidRPr="004A08F9" w:rsidRDefault="00000000" w:rsidP="004A08F9">
            <w:pPr>
              <w:widowControl/>
              <w:spacing w:line="240" w:lineRule="exact"/>
              <w:jc w:val="left"/>
              <w:textAlignment w:val="center"/>
              <w:rPr>
                <w:rFonts w:ascii="宋体" w:hAnsi="宋体" w:cs="宋体"/>
                <w:kern w:val="0"/>
                <w:sz w:val="15"/>
                <w:szCs w:val="15"/>
              </w:rPr>
            </w:pPr>
            <w:r w:rsidRPr="004A08F9">
              <w:rPr>
                <w:rFonts w:ascii="宋体" w:hAnsi="宋体" w:cs="宋体" w:hint="eastAsia"/>
                <w:color w:val="000000"/>
                <w:kern w:val="0"/>
                <w:sz w:val="15"/>
                <w:szCs w:val="15"/>
                <w:lang w:bidi="ar"/>
              </w:rPr>
              <w:t>1.童永胜：通过组织全国年会中自杀预防和热线技术专题会、举办全国及北京市级热线技术培训班等方式促进学科建设和国内自杀预防领域的进步。依托WHO合作中心平台，参加国际自杀预防指南手册的讨论、修改和定稿。完成自杀未遂者再自杀行为的随访和危险因素研究，开始尝试基于AI的心理危机情绪识别模型。</w:t>
            </w:r>
            <w:r w:rsidRPr="004A08F9">
              <w:rPr>
                <w:rFonts w:ascii="宋体" w:hAnsi="宋体" w:cs="宋体" w:hint="eastAsia"/>
                <w:color w:val="000000"/>
                <w:kern w:val="0"/>
                <w:sz w:val="15"/>
                <w:szCs w:val="15"/>
                <w:lang w:bidi="ar"/>
              </w:rPr>
              <w:br/>
              <w:t>2、王志仁：随机双盲对照研究的末阶段：完成20例患者的入组和随访，各项评估。完成治疗随访及评估，以及数据收集、整理，被试随访和数据收集，治疗前后数据统计分析，完成随访数据统计分析和论文撰写。</w:t>
            </w:r>
            <w:r w:rsidRPr="004A08F9">
              <w:rPr>
                <w:rFonts w:ascii="宋体" w:hAnsi="宋体" w:cs="宋体" w:hint="eastAsia"/>
                <w:color w:val="000000"/>
                <w:kern w:val="0"/>
                <w:sz w:val="15"/>
                <w:szCs w:val="15"/>
                <w:lang w:bidi="ar"/>
              </w:rPr>
              <w:br/>
              <w:t>3、陈景旭：开发失眠认知行为疗法（CBT-I）管理系统；完成150例受试者的入组（其中CBT-I组100例、对照组50例），采用网络化CBT-I管理系统对缓解期抑郁症（MDD）伴失眠患者进行干预，验证网络化CBT-I 对这类患者失眠的临床疗效，完成随访、数据分析和论文撰写。</w:t>
            </w:r>
          </w:p>
        </w:tc>
      </w:tr>
      <w:tr w:rsidR="00C63EBD">
        <w:trPr>
          <w:trHeight w:hRule="exact" w:val="517"/>
          <w:jc w:val="center"/>
        </w:trPr>
        <w:tc>
          <w:tcPr>
            <w:tcW w:w="353" w:type="pct"/>
            <w:vMerge w:val="restar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绩</w:t>
            </w:r>
            <w:r>
              <w:rPr>
                <w:rFonts w:ascii="宋体" w:hAnsi="宋体" w:cs="宋体" w:hint="eastAsia"/>
                <w:kern w:val="0"/>
                <w:sz w:val="18"/>
                <w:szCs w:val="18"/>
              </w:rPr>
              <w:br/>
              <w:t>效</w:t>
            </w:r>
            <w:r>
              <w:rPr>
                <w:rFonts w:ascii="宋体" w:hAnsi="宋体" w:cs="宋体" w:hint="eastAsia"/>
                <w:kern w:val="0"/>
                <w:sz w:val="18"/>
                <w:szCs w:val="18"/>
              </w:rPr>
              <w:br/>
              <w:t>指</w:t>
            </w:r>
            <w:r>
              <w:rPr>
                <w:rFonts w:ascii="宋体" w:hAnsi="宋体" w:cs="宋体" w:hint="eastAsia"/>
                <w:kern w:val="0"/>
                <w:sz w:val="18"/>
                <w:szCs w:val="18"/>
              </w:rPr>
              <w:br/>
              <w:t>标</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（90分）</w:t>
            </w:r>
          </w:p>
        </w:tc>
        <w:tc>
          <w:tcPr>
            <w:tcW w:w="318"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一级指标</w:t>
            </w:r>
          </w:p>
        </w:tc>
        <w:tc>
          <w:tcPr>
            <w:tcW w:w="426"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二级指标</w:t>
            </w: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三级指标</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年度</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指标值</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实际</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完成值</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分值</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得分</w:t>
            </w:r>
          </w:p>
        </w:tc>
        <w:tc>
          <w:tcPr>
            <w:tcW w:w="713" w:type="pct"/>
            <w:gridSpan w:val="2"/>
            <w:tcBorders>
              <w:top w:val="single" w:sz="4" w:space="0" w:color="auto"/>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偏差原因分析及改进措施</w:t>
            </w:r>
          </w:p>
        </w:tc>
      </w:tr>
      <w:tr w:rsidR="00C63EBD">
        <w:trPr>
          <w:trHeight w:hRule="exact" w:val="481"/>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val="restar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产出指标</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50分</w:t>
            </w:r>
          </w:p>
        </w:tc>
        <w:tc>
          <w:tcPr>
            <w:tcW w:w="426" w:type="pct"/>
            <w:vMerge w:val="restar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数量指标</w:t>
            </w: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发表文章、著作个数，获</w:t>
            </w:r>
            <w:proofErr w:type="gramStart"/>
            <w:r>
              <w:rPr>
                <w:rFonts w:ascii="宋体" w:hAnsi="宋体" w:cs="宋体" w:hint="eastAsia"/>
                <w:color w:val="000000"/>
                <w:kern w:val="0"/>
                <w:sz w:val="18"/>
                <w:szCs w:val="18"/>
                <w:lang w:bidi="ar"/>
              </w:rPr>
              <w:t>批专利</w:t>
            </w:r>
            <w:proofErr w:type="gramEnd"/>
            <w:r>
              <w:rPr>
                <w:rFonts w:ascii="宋体" w:hAnsi="宋体" w:cs="宋体" w:hint="eastAsia"/>
                <w:color w:val="000000"/>
                <w:kern w:val="0"/>
                <w:sz w:val="18"/>
                <w:szCs w:val="18"/>
                <w:lang w:bidi="ar"/>
              </w:rPr>
              <w:t xml:space="preserve">个数 </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8篇</w:t>
            </w:r>
          </w:p>
        </w:tc>
        <w:tc>
          <w:tcPr>
            <w:tcW w:w="638"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8篇</w:t>
            </w:r>
          </w:p>
        </w:tc>
        <w:tc>
          <w:tcPr>
            <w:tcW w:w="20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w:t>
            </w:r>
          </w:p>
        </w:tc>
        <w:tc>
          <w:tcPr>
            <w:tcW w:w="26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hRule="exact" w:val="376"/>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开展国家自然科学基金面上项目</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1个</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1个</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tabs>
                <w:tab w:val="left" w:pos="487"/>
              </w:tabs>
              <w:spacing w:line="240" w:lineRule="exact"/>
              <w:jc w:val="left"/>
              <w:rPr>
                <w:rFonts w:ascii="宋体" w:hAnsi="宋体" w:cs="宋体"/>
                <w:kern w:val="0"/>
                <w:sz w:val="18"/>
                <w:szCs w:val="18"/>
              </w:rPr>
            </w:pPr>
          </w:p>
        </w:tc>
      </w:tr>
      <w:tr w:rsidR="00C63EBD">
        <w:trPr>
          <w:trHeight w:val="125"/>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心理危机干预博士点/硕士点个数</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1个</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1个</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5"/>
                <w:szCs w:val="15"/>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125"/>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形成国家级继续教育项目</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2个</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2个</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25"/>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开展专病治疗领域研究课题个数</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1个</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1个</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25"/>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完成量表评定人员的一致性培训</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1次</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1次</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25"/>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开发基于</w:t>
            </w:r>
            <w:proofErr w:type="gramStart"/>
            <w:r>
              <w:rPr>
                <w:rFonts w:ascii="宋体" w:hAnsi="宋体" w:cs="宋体" w:hint="eastAsia"/>
                <w:color w:val="000000"/>
                <w:kern w:val="0"/>
                <w:sz w:val="18"/>
                <w:szCs w:val="18"/>
                <w:lang w:bidi="ar"/>
              </w:rPr>
              <w:t>微信公众号</w:t>
            </w:r>
            <w:proofErr w:type="gramEnd"/>
            <w:r>
              <w:rPr>
                <w:rFonts w:ascii="宋体" w:hAnsi="宋体" w:cs="宋体" w:hint="eastAsia"/>
                <w:color w:val="000000"/>
                <w:kern w:val="0"/>
                <w:sz w:val="18"/>
                <w:szCs w:val="18"/>
                <w:lang w:bidi="ar"/>
              </w:rPr>
              <w:t>的网络化CBT-I管理系统</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1次</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1次</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25"/>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开展国家重点专科项目</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1个</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1个</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25"/>
          <w:jc w:val="center"/>
        </w:trPr>
        <w:tc>
          <w:tcPr>
            <w:tcW w:w="353"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培养博士、硕士生个数</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6个</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10个</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hRule="exact" w:val="651"/>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val="restar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质量指标</w:t>
            </w: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通过专家组验收，符合临床研究标准《北京市医院管理中心“扬帆计划”任务验收通知》</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通过专家组验收，符合临床研究标准《北京市医院管理中心“扬帆计划”任务验收通知》</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符合临床研究标准</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hRule="exact" w:val="291"/>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SCI论文达到的标准/水平</w:t>
            </w:r>
          </w:p>
        </w:tc>
        <w:tc>
          <w:tcPr>
            <w:tcW w:w="630"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2.5</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2.5</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138"/>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专业团队中博士人数提高比</w:t>
            </w:r>
            <w:r>
              <w:rPr>
                <w:rFonts w:ascii="宋体" w:hAnsi="宋体" w:cs="宋体" w:hint="eastAsia"/>
                <w:color w:val="000000"/>
                <w:kern w:val="0"/>
                <w:sz w:val="18"/>
                <w:szCs w:val="18"/>
                <w:lang w:bidi="ar"/>
              </w:rPr>
              <w:lastRenderedPageBreak/>
              <w:t>例</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lastRenderedPageBreak/>
              <w:t>25%</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25%</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639"/>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中文核心期刊论文达到的标准/水平</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达到国内先进标准/水平，影响因子1.2</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达到国内先进标准/水平，影响因子1.2</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38"/>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专业团队中正高级人数提高比例</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16.70%</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16.70%</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38"/>
          <w:jc w:val="center"/>
        </w:trPr>
        <w:tc>
          <w:tcPr>
            <w:tcW w:w="353"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热线指南成果/教材适用性/应用率</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w:t>
            </w:r>
          </w:p>
        </w:tc>
        <w:tc>
          <w:tcPr>
            <w:tcW w:w="638" w:type="pct"/>
            <w:gridSpan w:val="2"/>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w:t>
            </w:r>
          </w:p>
        </w:tc>
        <w:tc>
          <w:tcPr>
            <w:tcW w:w="20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hRule="exact" w:val="291"/>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val="restar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时效指标</w:t>
            </w: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完成网络化CBT-I管理系统开发</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2023年12月前</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2023年12月前</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hRule="exact" w:val="291"/>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完成热线来电者自杀危险程度评估的模型训练和试用</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2023年12月前</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2023年12月前</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145"/>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随机双盲对照研究的第一阶段：包括20例患者的入组和随访，并完成相应评估和实验室检测</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2023年12月前</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2023年12月前</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100"/>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临床CRF表的印制，各种评估量表的准备，完成研究人员培训，试验药品和安慰剂的准备。</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2023年6月前</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2023年6月前</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00"/>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426"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完成8篇论文发表</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2023年12月前</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2023年12月前</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100"/>
          <w:jc w:val="center"/>
        </w:trPr>
        <w:tc>
          <w:tcPr>
            <w:tcW w:w="353"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318"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426"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c>
          <w:tcPr>
            <w:tcW w:w="1455"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完成30例受试者入组</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2023年5月前</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2023年5月前</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hRule="exact" w:val="602"/>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成本指标</w:t>
            </w:r>
          </w:p>
        </w:tc>
        <w:tc>
          <w:tcPr>
            <w:tcW w:w="1455" w:type="pct"/>
            <w:gridSpan w:val="2"/>
            <w:tcBorders>
              <w:top w:val="single" w:sz="4" w:space="0" w:color="auto"/>
              <w:left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项目总预算控制数</w:t>
            </w:r>
          </w:p>
        </w:tc>
        <w:tc>
          <w:tcPr>
            <w:tcW w:w="630"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59.09万元</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59.09万元</w:t>
            </w:r>
          </w:p>
        </w:tc>
        <w:tc>
          <w:tcPr>
            <w:tcW w:w="20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4</w:t>
            </w:r>
          </w:p>
        </w:tc>
        <w:tc>
          <w:tcPr>
            <w:tcW w:w="261" w:type="pct"/>
            <w:tcBorders>
              <w:top w:val="single" w:sz="4" w:space="0" w:color="auto"/>
              <w:left w:val="single" w:sz="4" w:space="0" w:color="auto"/>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kern w:val="0"/>
                <w:sz w:val="18"/>
                <w:szCs w:val="18"/>
              </w:rPr>
              <w:t>4</w:t>
            </w:r>
          </w:p>
        </w:tc>
        <w:tc>
          <w:tcPr>
            <w:tcW w:w="713" w:type="pct"/>
            <w:gridSpan w:val="2"/>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331"/>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val="restart"/>
            <w:tcBorders>
              <w:top w:val="single" w:sz="4" w:space="0" w:color="auto"/>
              <w:left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效益指标</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30分</w:t>
            </w:r>
          </w:p>
        </w:tc>
        <w:tc>
          <w:tcPr>
            <w:tcW w:w="426" w:type="pct"/>
            <w:vMerge w:val="restart"/>
            <w:tcBorders>
              <w:top w:val="single" w:sz="4" w:space="0" w:color="auto"/>
              <w:left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社会效益</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全人群自杀率降低</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638"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5%</w:t>
            </w:r>
          </w:p>
        </w:tc>
        <w:tc>
          <w:tcPr>
            <w:tcW w:w="20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w:t>
            </w:r>
          </w:p>
        </w:tc>
        <w:tc>
          <w:tcPr>
            <w:tcW w:w="26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10</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441"/>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318" w:type="pct"/>
            <w:vMerge/>
            <w:tcBorders>
              <w:left w:val="single" w:sz="4" w:space="0" w:color="auto"/>
              <w:right w:val="single" w:sz="4" w:space="0" w:color="auto"/>
            </w:tcBorders>
            <w:vAlign w:val="center"/>
          </w:tcPr>
          <w:p w:rsidR="00C63EBD" w:rsidRDefault="00C63EBD">
            <w:pPr>
              <w:widowControl/>
              <w:spacing w:line="240" w:lineRule="exact"/>
              <w:jc w:val="center"/>
            </w:pPr>
          </w:p>
        </w:tc>
        <w:tc>
          <w:tcPr>
            <w:tcW w:w="426" w:type="pct"/>
            <w:vMerge/>
            <w:tcBorders>
              <w:left w:val="single" w:sz="4" w:space="0" w:color="auto"/>
              <w:right w:val="single" w:sz="4" w:space="0" w:color="auto"/>
            </w:tcBorders>
            <w:vAlign w:val="center"/>
          </w:tcPr>
          <w:p w:rsidR="00C63EBD" w:rsidRDefault="00C63EBD">
            <w:pPr>
              <w:widowControl/>
              <w:spacing w:line="240" w:lineRule="exact"/>
              <w:jc w:val="cente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人工智能评估来电者自杀风险新技术模型</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1个</w:t>
            </w:r>
          </w:p>
        </w:tc>
        <w:tc>
          <w:tcPr>
            <w:tcW w:w="638"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1个</w:t>
            </w:r>
          </w:p>
        </w:tc>
        <w:tc>
          <w:tcPr>
            <w:tcW w:w="20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10</w:t>
            </w:r>
          </w:p>
        </w:tc>
        <w:tc>
          <w:tcPr>
            <w:tcW w:w="26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10</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pPr>
          </w:p>
        </w:tc>
      </w:tr>
      <w:tr w:rsidR="00C63EBD">
        <w:trPr>
          <w:trHeight w:val="601"/>
          <w:jc w:val="center"/>
        </w:trPr>
        <w:tc>
          <w:tcPr>
            <w:tcW w:w="353"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318"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426"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1455"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指导患者进行康复，失眠症状得到有效改善，有效率达到</w:t>
            </w:r>
          </w:p>
        </w:tc>
        <w:tc>
          <w:tcPr>
            <w:tcW w:w="630"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60%</w:t>
            </w:r>
          </w:p>
        </w:tc>
        <w:tc>
          <w:tcPr>
            <w:tcW w:w="638" w:type="pct"/>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60%</w:t>
            </w:r>
          </w:p>
        </w:tc>
        <w:tc>
          <w:tcPr>
            <w:tcW w:w="20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10</w:t>
            </w:r>
          </w:p>
        </w:tc>
        <w:tc>
          <w:tcPr>
            <w:tcW w:w="261" w:type="pct"/>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pPr>
            <w:r>
              <w:rPr>
                <w:rFonts w:ascii="宋体" w:hAnsi="宋体" w:cs="宋体" w:hint="eastAsia"/>
                <w:color w:val="000000"/>
                <w:kern w:val="0"/>
                <w:sz w:val="18"/>
                <w:szCs w:val="18"/>
                <w:lang w:bidi="ar"/>
              </w:rPr>
              <w:t>10</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pPr>
          </w:p>
        </w:tc>
      </w:tr>
      <w:tr w:rsidR="00C63EBD">
        <w:trPr>
          <w:trHeight w:val="203"/>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val="restart"/>
            <w:tcBorders>
              <w:top w:val="single" w:sz="4" w:space="0" w:color="auto"/>
              <w:left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满意度</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指标</w:t>
            </w:r>
          </w:p>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10分</w:t>
            </w:r>
          </w:p>
        </w:tc>
        <w:tc>
          <w:tcPr>
            <w:tcW w:w="426" w:type="pct"/>
            <w:vMerge w:val="restart"/>
            <w:tcBorders>
              <w:top w:val="single" w:sz="4" w:space="0" w:color="auto"/>
              <w:left w:val="single" w:sz="4" w:space="0" w:color="auto"/>
              <w:right w:val="single" w:sz="4" w:space="0" w:color="auto"/>
            </w:tcBorders>
            <w:vAlign w:val="center"/>
          </w:tcPr>
          <w:p w:rsidR="00C63EBD" w:rsidRDefault="00000000">
            <w:pPr>
              <w:widowControl/>
              <w:spacing w:line="240" w:lineRule="exact"/>
              <w:jc w:val="center"/>
              <w:rPr>
                <w:rFonts w:ascii="宋体" w:hAnsi="宋体" w:cs="宋体"/>
                <w:kern w:val="0"/>
                <w:sz w:val="18"/>
                <w:szCs w:val="18"/>
              </w:rPr>
            </w:pPr>
            <w:r>
              <w:rPr>
                <w:rFonts w:ascii="宋体" w:hAnsi="宋体" w:cs="宋体" w:hint="eastAsia"/>
                <w:kern w:val="0"/>
                <w:sz w:val="18"/>
                <w:szCs w:val="18"/>
              </w:rPr>
              <w:t>服务对象满意度指标</w:t>
            </w:r>
          </w:p>
        </w:tc>
        <w:tc>
          <w:tcPr>
            <w:tcW w:w="411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院内参与人员满意度</w:t>
            </w:r>
          </w:p>
        </w:tc>
        <w:tc>
          <w:tcPr>
            <w:tcW w:w="1783"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≥95%</w:t>
            </w:r>
          </w:p>
        </w:tc>
        <w:tc>
          <w:tcPr>
            <w:tcW w:w="180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≥95%</w:t>
            </w:r>
          </w:p>
        </w:tc>
        <w:tc>
          <w:tcPr>
            <w:tcW w:w="569"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40"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color w:val="000000"/>
                <w:kern w:val="0"/>
                <w:sz w:val="18"/>
                <w:szCs w:val="18"/>
              </w:rPr>
            </w:pPr>
          </w:p>
        </w:tc>
      </w:tr>
      <w:tr w:rsidR="00C63EBD">
        <w:trPr>
          <w:trHeight w:val="203"/>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pPr>
          </w:p>
        </w:tc>
        <w:tc>
          <w:tcPr>
            <w:tcW w:w="318" w:type="pct"/>
            <w:vMerge/>
            <w:tcBorders>
              <w:left w:val="single" w:sz="4" w:space="0" w:color="auto"/>
              <w:right w:val="single" w:sz="4" w:space="0" w:color="auto"/>
            </w:tcBorders>
            <w:vAlign w:val="center"/>
          </w:tcPr>
          <w:p w:rsidR="00C63EBD" w:rsidRDefault="00C63EBD">
            <w:pPr>
              <w:widowControl/>
              <w:spacing w:line="240" w:lineRule="exact"/>
              <w:jc w:val="center"/>
            </w:pPr>
          </w:p>
        </w:tc>
        <w:tc>
          <w:tcPr>
            <w:tcW w:w="426" w:type="pct"/>
            <w:vMerge/>
            <w:tcBorders>
              <w:left w:val="single" w:sz="4" w:space="0" w:color="auto"/>
              <w:right w:val="single" w:sz="4" w:space="0" w:color="auto"/>
            </w:tcBorders>
            <w:vAlign w:val="center"/>
          </w:tcPr>
          <w:p w:rsidR="00C63EBD" w:rsidRDefault="00C63EBD">
            <w:pPr>
              <w:widowControl/>
              <w:spacing w:line="240" w:lineRule="exact"/>
              <w:jc w:val="center"/>
            </w:pPr>
          </w:p>
        </w:tc>
        <w:tc>
          <w:tcPr>
            <w:tcW w:w="411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热线研究受试者满意度</w:t>
            </w:r>
          </w:p>
        </w:tc>
        <w:tc>
          <w:tcPr>
            <w:tcW w:w="1783"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≥75%</w:t>
            </w:r>
          </w:p>
        </w:tc>
        <w:tc>
          <w:tcPr>
            <w:tcW w:w="180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≥75%</w:t>
            </w:r>
          </w:p>
        </w:tc>
        <w:tc>
          <w:tcPr>
            <w:tcW w:w="569"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740"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203"/>
          <w:jc w:val="center"/>
        </w:trPr>
        <w:tc>
          <w:tcPr>
            <w:tcW w:w="353" w:type="pct"/>
            <w:vMerge/>
            <w:tcBorders>
              <w:top w:val="single" w:sz="4" w:space="0" w:color="auto"/>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left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left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11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热线研究/参与人员/领导满意度</w:t>
            </w:r>
          </w:p>
        </w:tc>
        <w:tc>
          <w:tcPr>
            <w:tcW w:w="1783"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≥90%</w:t>
            </w:r>
          </w:p>
        </w:tc>
        <w:tc>
          <w:tcPr>
            <w:tcW w:w="180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≥90%</w:t>
            </w:r>
          </w:p>
        </w:tc>
        <w:tc>
          <w:tcPr>
            <w:tcW w:w="569"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w:t>
            </w:r>
          </w:p>
        </w:tc>
        <w:tc>
          <w:tcPr>
            <w:tcW w:w="740"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2</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val="203"/>
          <w:jc w:val="center"/>
        </w:trPr>
        <w:tc>
          <w:tcPr>
            <w:tcW w:w="353"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318"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26" w:type="pct"/>
            <w:vMerge/>
            <w:tcBorders>
              <w:left w:val="single" w:sz="4" w:space="0" w:color="auto"/>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c>
          <w:tcPr>
            <w:tcW w:w="411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患者满意度</w:t>
            </w:r>
          </w:p>
        </w:tc>
        <w:tc>
          <w:tcPr>
            <w:tcW w:w="1783"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≥90%</w:t>
            </w:r>
          </w:p>
        </w:tc>
        <w:tc>
          <w:tcPr>
            <w:tcW w:w="1806" w:type="dxa"/>
            <w:gridSpan w:val="2"/>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≥90%</w:t>
            </w:r>
          </w:p>
        </w:tc>
        <w:tc>
          <w:tcPr>
            <w:tcW w:w="569"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740" w:type="dxa"/>
            <w:tcBorders>
              <w:top w:val="single" w:sz="4" w:space="0" w:color="auto"/>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kern w:val="0"/>
                <w:sz w:val="18"/>
                <w:szCs w:val="18"/>
              </w:rPr>
            </w:pPr>
            <w:r>
              <w:rPr>
                <w:rFonts w:ascii="宋体" w:hAnsi="宋体" w:cs="宋体" w:hint="eastAsia"/>
                <w:color w:val="000000"/>
                <w:kern w:val="0"/>
                <w:sz w:val="18"/>
                <w:szCs w:val="18"/>
                <w:lang w:bidi="ar"/>
              </w:rPr>
              <w:t>3</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r w:rsidR="00C63EBD">
        <w:trPr>
          <w:trHeight w:hRule="exact" w:val="486"/>
          <w:jc w:val="center"/>
        </w:trPr>
        <w:tc>
          <w:tcPr>
            <w:tcW w:w="3823" w:type="pct"/>
            <w:gridSpan w:val="8"/>
            <w:tcBorders>
              <w:top w:val="single" w:sz="4" w:space="0" w:color="auto"/>
              <w:left w:val="single" w:sz="4" w:space="0" w:color="auto"/>
              <w:bottom w:val="single" w:sz="4" w:space="0" w:color="auto"/>
              <w:right w:val="single" w:sz="4" w:space="0" w:color="auto"/>
            </w:tcBorders>
            <w:vAlign w:val="center"/>
          </w:tcPr>
          <w:p w:rsidR="00C63EBD" w:rsidRDefault="0000000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总分</w:t>
            </w:r>
          </w:p>
        </w:tc>
        <w:tc>
          <w:tcPr>
            <w:tcW w:w="201" w:type="pct"/>
            <w:tcBorders>
              <w:top w:val="nil"/>
              <w:left w:val="nil"/>
              <w:bottom w:val="single" w:sz="4" w:space="0" w:color="auto"/>
              <w:right w:val="single" w:sz="4" w:space="0" w:color="auto"/>
            </w:tcBorders>
            <w:vAlign w:val="center"/>
          </w:tcPr>
          <w:p w:rsidR="00C63EBD" w:rsidRDefault="00000000">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100</w:t>
            </w:r>
          </w:p>
        </w:tc>
        <w:tc>
          <w:tcPr>
            <w:tcW w:w="261" w:type="pct"/>
            <w:tcBorders>
              <w:top w:val="nil"/>
              <w:left w:val="nil"/>
              <w:bottom w:val="single" w:sz="4" w:space="0" w:color="auto"/>
              <w:right w:val="single" w:sz="4" w:space="0" w:color="auto"/>
            </w:tcBorders>
            <w:vAlign w:val="center"/>
          </w:tcPr>
          <w:p w:rsidR="00C63EBD" w:rsidRDefault="00000000">
            <w:pPr>
              <w:widowControl/>
              <w:jc w:val="center"/>
              <w:textAlignment w:val="center"/>
              <w:rPr>
                <w:rFonts w:ascii="宋体" w:hAnsi="宋体" w:cs="宋体"/>
                <w:color w:val="000000"/>
                <w:kern w:val="0"/>
                <w:sz w:val="18"/>
                <w:szCs w:val="18"/>
              </w:rPr>
            </w:pPr>
            <w:r>
              <w:rPr>
                <w:rFonts w:ascii="宋体" w:hAnsi="宋体" w:cs="宋体" w:hint="eastAsia"/>
                <w:color w:val="000000"/>
                <w:kern w:val="0"/>
                <w:sz w:val="20"/>
                <w:szCs w:val="20"/>
                <w:lang w:bidi="ar"/>
              </w:rPr>
              <w:t>100</w:t>
            </w:r>
          </w:p>
        </w:tc>
        <w:tc>
          <w:tcPr>
            <w:tcW w:w="713" w:type="pct"/>
            <w:gridSpan w:val="2"/>
            <w:tcBorders>
              <w:top w:val="single" w:sz="4" w:space="0" w:color="auto"/>
              <w:left w:val="nil"/>
              <w:bottom w:val="single" w:sz="4" w:space="0" w:color="auto"/>
              <w:right w:val="single" w:sz="4" w:space="0" w:color="auto"/>
            </w:tcBorders>
            <w:vAlign w:val="center"/>
          </w:tcPr>
          <w:p w:rsidR="00C63EBD" w:rsidRDefault="00C63EBD">
            <w:pPr>
              <w:widowControl/>
              <w:spacing w:line="240" w:lineRule="exact"/>
              <w:jc w:val="center"/>
              <w:rPr>
                <w:rFonts w:ascii="宋体" w:hAnsi="宋体" w:cs="宋体"/>
                <w:kern w:val="0"/>
                <w:sz w:val="18"/>
                <w:szCs w:val="18"/>
              </w:rPr>
            </w:pPr>
          </w:p>
        </w:tc>
      </w:tr>
    </w:tbl>
    <w:p w:rsidR="00C63EBD" w:rsidRDefault="00C63EBD"/>
    <w:sectPr w:rsidR="00C63EB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VmNzg3M2YyNzI2OWUwN2ZlM2M1MDc2ZTZlNGJjZTUifQ=="/>
  </w:docVars>
  <w:rsids>
    <w:rsidRoot w:val="28FF42C9"/>
    <w:rsid w:val="004A08F9"/>
    <w:rsid w:val="00C63EBD"/>
    <w:rsid w:val="0167401F"/>
    <w:rsid w:val="044C53FF"/>
    <w:rsid w:val="1C46568C"/>
    <w:rsid w:val="28FF42C9"/>
    <w:rsid w:val="34F72D58"/>
    <w:rsid w:val="4BE3315F"/>
    <w:rsid w:val="56540606"/>
    <w:rsid w:val="5DD12C1E"/>
    <w:rsid w:val="607C7584"/>
    <w:rsid w:val="620F5241"/>
    <w:rsid w:val="63872CC8"/>
    <w:rsid w:val="6E7838C8"/>
    <w:rsid w:val="71F4228E"/>
    <w:rsid w:val="7AD43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3FA36D-559E-4EF6-9059-593FB244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Lines="50" w:before="50"/>
      <w:ind w:firstLineChars="200" w:firstLine="670"/>
      <w:jc w:val="left"/>
      <w:outlineLvl w:val="0"/>
    </w:pPr>
    <w:rPr>
      <w:rFonts w:eastAsia="黑体" w:hint="eastAsia"/>
      <w:kern w:val="44"/>
      <w:sz w:val="32"/>
      <w:szCs w:val="32"/>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337</Words>
  <Characters>1923</Characters>
  <Application>Microsoft Office Word</Application>
  <DocSecurity>0</DocSecurity>
  <Lines>16</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张雪</cp:lastModifiedBy>
  <cp:revision>2</cp:revision>
  <dcterms:created xsi:type="dcterms:W3CDTF">2024-04-16T02:39:00Z</dcterms:created>
  <dcterms:modified xsi:type="dcterms:W3CDTF">2024-06-05T12:46:00Z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F03ACE3CE6D146728D76A4A7EDF0ACF2_11</vt:lpwstr>
  </property>
</Properties>
</file>