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附件2</w:t>
      </w:r>
    </w:p>
    <w:tbl>
      <w:tblPr>
        <w:tblStyle w:val="9"/>
        <w:tblW w:w="92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63"/>
        <w:gridCol w:w="1092"/>
        <w:gridCol w:w="831"/>
        <w:gridCol w:w="968"/>
        <w:gridCol w:w="312"/>
        <w:gridCol w:w="857"/>
        <w:gridCol w:w="819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佑安医院污水处理及医疗废物处置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首都医科大学附属北京佑安医院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钱玉松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83997501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330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309.828139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309.828139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330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309.828139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309.828139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6" w:hRule="exact"/>
          <w:jc w:val="center"/>
        </w:trPr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整体保证在达到环保部门设计目标的同时兼顾性价比；实现好的社会效益的前提下经济效益的兼顾；在污水排放的前提下确保排放达标，使系统正常运行；在遵循绿色、环保、节能的前提下，建设环境友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好工程，实现相关污水排放的可持续性发展。 通过对医疗废物规范化管理，使医院的医疗废物符合《北京市医疗卫生机构医疗废物管理规定》、《医疗卫生机构医疗废物管理办法》和《医疗废物管理条例》的相关要求，符合国家法律、法规的相关规定。医疗废物规范化管理，能够有效预防医务人员发生职业暴露的风险。通过有效管理和专业处置，有效预防和控制医疗废物对人体健康和环境的危害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全年处理污水量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145088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131733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以医院实际污水产生量为准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医疗废物处置量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598944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766900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污水排放达到国家环保部门标准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达标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达标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医疗废弃物收集、转运整个环节符合相关规定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达标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达标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按相关标准完成污水处理及医疗废物处置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达标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达标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成本控制在预算内，资金使用合法合规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330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309.828139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因招标后中标金额差异原因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改善医院污水处理的工作环境条件，为其提供良好的工作环境，消除安全隐患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合格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污水排放达到国家环保部门标准、医疗废弃物收集、转运整个环节符合相关规定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达标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达标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医院受益职工满意度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90%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医院就诊患者满意度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MxNzAzZTU5NzIxOWNiNDQ1ZjBlMTdjZjQ4M2JiMjMifQ=="/>
  </w:docVars>
  <w:rsids>
    <w:rsidRoot w:val="28FF42C9"/>
    <w:rsid w:val="0009746F"/>
    <w:rsid w:val="000B1B81"/>
    <w:rsid w:val="000E5A56"/>
    <w:rsid w:val="000F7A12"/>
    <w:rsid w:val="001C03AC"/>
    <w:rsid w:val="0036067A"/>
    <w:rsid w:val="003B62B8"/>
    <w:rsid w:val="003D30C9"/>
    <w:rsid w:val="0047277E"/>
    <w:rsid w:val="009830F0"/>
    <w:rsid w:val="00CA722C"/>
    <w:rsid w:val="00CD416E"/>
    <w:rsid w:val="00F16353"/>
    <w:rsid w:val="0167401F"/>
    <w:rsid w:val="0E5213E5"/>
    <w:rsid w:val="1C46568C"/>
    <w:rsid w:val="1DFC61BB"/>
    <w:rsid w:val="28FF42C9"/>
    <w:rsid w:val="4D32521E"/>
    <w:rsid w:val="5B560C66"/>
    <w:rsid w:val="63872CC8"/>
    <w:rsid w:val="6DC421C8"/>
    <w:rsid w:val="6E7838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Balloon Text"/>
    <w:basedOn w:val="1"/>
    <w:link w:val="12"/>
    <w:autoRedefine/>
    <w:qFormat/>
    <w:uiPriority w:val="0"/>
    <w:rPr>
      <w:sz w:val="18"/>
      <w:szCs w:val="18"/>
    </w:rPr>
  </w:style>
  <w:style w:type="paragraph" w:styleId="6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11">
    <w:name w:val="annotation reference"/>
    <w:basedOn w:val="10"/>
    <w:autoRedefine/>
    <w:qFormat/>
    <w:uiPriority w:val="0"/>
    <w:rPr>
      <w:sz w:val="21"/>
      <w:szCs w:val="21"/>
    </w:rPr>
  </w:style>
  <w:style w:type="character" w:customStyle="1" w:styleId="12">
    <w:name w:val="批注框文本 字符"/>
    <w:basedOn w:val="10"/>
    <w:link w:val="5"/>
    <w:autoRedefine/>
    <w:qFormat/>
    <w:uiPriority w:val="0"/>
    <w:rPr>
      <w:kern w:val="2"/>
      <w:sz w:val="18"/>
      <w:szCs w:val="18"/>
    </w:rPr>
  </w:style>
  <w:style w:type="character" w:customStyle="1" w:styleId="13">
    <w:name w:val="页眉 字符"/>
    <w:basedOn w:val="10"/>
    <w:link w:val="7"/>
    <w:autoRedefine/>
    <w:qFormat/>
    <w:uiPriority w:val="0"/>
    <w:rPr>
      <w:kern w:val="2"/>
      <w:sz w:val="18"/>
      <w:szCs w:val="18"/>
    </w:rPr>
  </w:style>
  <w:style w:type="character" w:customStyle="1" w:styleId="14">
    <w:name w:val="页脚 字符"/>
    <w:basedOn w:val="10"/>
    <w:link w:val="6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164</Words>
  <Characters>938</Characters>
  <Lines>7</Lines>
  <Paragraphs>2</Paragraphs>
  <TotalTime>4</TotalTime>
  <ScaleCrop>false</ScaleCrop>
  <LinksUpToDate>false</LinksUpToDate>
  <CharactersWithSpaces>1100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csj</cp:lastModifiedBy>
  <dcterms:modified xsi:type="dcterms:W3CDTF">2024-05-08T09:16:39Z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