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eastAsia="黑体"/>
          <w:sz w:val="32"/>
          <w:szCs w:val="32"/>
        </w:rPr>
      </w:pPr>
      <w:r>
        <w:rPr>
          <w:rFonts w:hint="eastAsia" w:ascii="黑体" w:hAnsi="黑体" w:eastAsia="黑体"/>
          <w:sz w:val="32"/>
          <w:szCs w:val="32"/>
        </w:rPr>
        <w:t>附件2</w:t>
      </w:r>
    </w:p>
    <w:tbl>
      <w:tblPr>
        <w:tblStyle w:val="7"/>
        <w:tblW w:w="9440" w:type="dxa"/>
        <w:jc w:val="center"/>
        <w:tblLayout w:type="fixed"/>
        <w:tblCellMar>
          <w:top w:w="0" w:type="dxa"/>
          <w:left w:w="108" w:type="dxa"/>
          <w:bottom w:w="0" w:type="dxa"/>
          <w:right w:w="108" w:type="dxa"/>
        </w:tblCellMar>
      </w:tblPr>
      <w:tblGrid>
        <w:gridCol w:w="691"/>
        <w:gridCol w:w="963"/>
        <w:gridCol w:w="1092"/>
        <w:gridCol w:w="675"/>
        <w:gridCol w:w="1133"/>
        <w:gridCol w:w="303"/>
        <w:gridCol w:w="898"/>
        <w:gridCol w:w="850"/>
        <w:gridCol w:w="389"/>
        <w:gridCol w:w="212"/>
        <w:gridCol w:w="664"/>
        <w:gridCol w:w="609"/>
        <w:gridCol w:w="961"/>
      </w:tblGrid>
      <w:tr>
        <w:tblPrEx>
          <w:tblCellMar>
            <w:top w:w="0" w:type="dxa"/>
            <w:left w:w="108" w:type="dxa"/>
            <w:bottom w:w="0" w:type="dxa"/>
            <w:right w:w="108" w:type="dxa"/>
          </w:tblCellMar>
        </w:tblPrEx>
        <w:trPr>
          <w:trHeight w:val="440" w:hRule="exact"/>
          <w:jc w:val="center"/>
        </w:trPr>
        <w:tc>
          <w:tcPr>
            <w:tcW w:w="9440" w:type="dxa"/>
            <w:gridSpan w:val="13"/>
            <w:tcBorders>
              <w:top w:val="nil"/>
              <w:left w:val="nil"/>
              <w:bottom w:val="nil"/>
              <w:right w:val="nil"/>
            </w:tcBorders>
            <w:vAlign w:val="center"/>
          </w:tcPr>
          <w:p>
            <w:pPr>
              <w:widowControl/>
              <w:spacing w:line="320" w:lineRule="exact"/>
              <w:jc w:val="center"/>
              <w:rPr>
                <w:rFonts w:ascii="宋体" w:hAnsi="宋体" w:cs="宋体"/>
                <w:b/>
                <w:bCs/>
                <w:kern w:val="0"/>
                <w:sz w:val="32"/>
                <w:szCs w:val="32"/>
              </w:rPr>
            </w:pPr>
            <w:r>
              <w:rPr>
                <w:rFonts w:hint="eastAsia" w:ascii="宋体" w:hAnsi="宋体" w:cs="宋体"/>
                <w:b/>
                <w:bCs/>
                <w:kern w:val="0"/>
                <w:sz w:val="32"/>
                <w:szCs w:val="32"/>
              </w:rPr>
              <w:t>项目支出绩效自评表</w:t>
            </w:r>
          </w:p>
        </w:tc>
      </w:tr>
      <w:tr>
        <w:tblPrEx>
          <w:tblCellMar>
            <w:top w:w="0" w:type="dxa"/>
            <w:left w:w="108" w:type="dxa"/>
            <w:bottom w:w="0" w:type="dxa"/>
            <w:right w:w="108" w:type="dxa"/>
          </w:tblCellMar>
        </w:tblPrEx>
        <w:trPr>
          <w:trHeight w:val="194" w:hRule="atLeast"/>
          <w:jc w:val="center"/>
        </w:trPr>
        <w:tc>
          <w:tcPr>
            <w:tcW w:w="9440" w:type="dxa"/>
            <w:gridSpan w:val="13"/>
            <w:tcBorders>
              <w:top w:val="nil"/>
              <w:left w:val="nil"/>
              <w:bottom w:val="single" w:color="auto" w:sz="4" w:space="0"/>
              <w:right w:val="nil"/>
            </w:tcBorders>
          </w:tcPr>
          <w:p>
            <w:pPr>
              <w:widowControl/>
              <w:jc w:val="center"/>
              <w:rPr>
                <w:rFonts w:ascii="宋体" w:hAnsi="宋体" w:cs="宋体"/>
                <w:kern w:val="0"/>
                <w:sz w:val="22"/>
              </w:rPr>
            </w:pPr>
            <w:r>
              <w:rPr>
                <w:rFonts w:hint="eastAsia" w:ascii="宋体" w:hAnsi="宋体" w:cs="宋体"/>
                <w:kern w:val="0"/>
                <w:sz w:val="22"/>
              </w:rPr>
              <w:t>（2023年度）</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项目名称</w:t>
            </w:r>
          </w:p>
        </w:tc>
        <w:tc>
          <w:tcPr>
            <w:tcW w:w="7786" w:type="dxa"/>
            <w:gridSpan w:val="11"/>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胸科医院结核病医院感染防控耗材购置</w:t>
            </w:r>
          </w:p>
        </w:tc>
      </w:tr>
      <w:tr>
        <w:tblPrEx>
          <w:tblCellMar>
            <w:top w:w="0" w:type="dxa"/>
            <w:left w:w="108" w:type="dxa"/>
            <w:bottom w:w="0" w:type="dxa"/>
            <w:right w:w="108" w:type="dxa"/>
          </w:tblCellMar>
        </w:tblPrEx>
        <w:trPr>
          <w:trHeight w:val="543"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主管部门</w:t>
            </w:r>
          </w:p>
        </w:tc>
        <w:tc>
          <w:tcPr>
            <w:tcW w:w="4101"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北京市医院管理中心</w:t>
            </w:r>
          </w:p>
        </w:tc>
        <w:tc>
          <w:tcPr>
            <w:tcW w:w="123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实施单位</w:t>
            </w:r>
          </w:p>
        </w:tc>
        <w:tc>
          <w:tcPr>
            <w:tcW w:w="2446"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首都医科大学附属北京胸科医院</w:t>
            </w:r>
          </w:p>
        </w:tc>
      </w:tr>
      <w:tr>
        <w:tblPrEx>
          <w:tblCellMar>
            <w:top w:w="0" w:type="dxa"/>
            <w:left w:w="108" w:type="dxa"/>
            <w:bottom w:w="0" w:type="dxa"/>
            <w:right w:w="108" w:type="dxa"/>
          </w:tblCellMar>
        </w:tblPrEx>
        <w:trPr>
          <w:trHeight w:val="291" w:hRule="exact"/>
          <w:jc w:val="center"/>
        </w:trPr>
        <w:tc>
          <w:tcPr>
            <w:tcW w:w="1654"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项目负责人</w:t>
            </w:r>
          </w:p>
        </w:tc>
        <w:tc>
          <w:tcPr>
            <w:tcW w:w="4101" w:type="dxa"/>
            <w:gridSpan w:val="5"/>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谢忠尧</w:t>
            </w:r>
          </w:p>
        </w:tc>
        <w:tc>
          <w:tcPr>
            <w:tcW w:w="123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联系电话</w:t>
            </w:r>
          </w:p>
        </w:tc>
        <w:tc>
          <w:tcPr>
            <w:tcW w:w="2446" w:type="dxa"/>
            <w:gridSpan w:val="4"/>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89509061、13466755140</w:t>
            </w:r>
          </w:p>
        </w:tc>
      </w:tr>
      <w:tr>
        <w:tblPrEx>
          <w:tblCellMar>
            <w:top w:w="0" w:type="dxa"/>
            <w:left w:w="108" w:type="dxa"/>
            <w:bottom w:w="0" w:type="dxa"/>
            <w:right w:w="108" w:type="dxa"/>
          </w:tblCellMar>
        </w:tblPrEx>
        <w:trPr>
          <w:trHeight w:val="644" w:hRule="exact"/>
          <w:jc w:val="center"/>
        </w:trPr>
        <w:tc>
          <w:tcPr>
            <w:tcW w:w="1654"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项目资金</w:t>
            </w:r>
            <w:r>
              <w:rPr>
                <w:rFonts w:hint="eastAsia" w:ascii="宋体" w:hAnsi="宋体" w:eastAsia="宋体" w:cs="宋体"/>
                <w:kern w:val="0"/>
                <w:sz w:val="18"/>
                <w:szCs w:val="18"/>
              </w:rPr>
              <w:br w:type="textWrapping"/>
            </w:r>
            <w:r>
              <w:rPr>
                <w:rFonts w:hint="eastAsia" w:ascii="宋体" w:hAnsi="宋体" w:eastAsia="宋体" w:cs="宋体"/>
                <w:kern w:val="0"/>
                <w:sz w:val="18"/>
                <w:szCs w:val="18"/>
              </w:rPr>
              <w:t>（万元）</w:t>
            </w:r>
          </w:p>
        </w:tc>
        <w:tc>
          <w:tcPr>
            <w:tcW w:w="17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13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年初预算数</w:t>
            </w:r>
          </w:p>
        </w:tc>
        <w:tc>
          <w:tcPr>
            <w:tcW w:w="12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全年预算数</w:t>
            </w:r>
          </w:p>
        </w:tc>
        <w:tc>
          <w:tcPr>
            <w:tcW w:w="123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全年执行数</w:t>
            </w:r>
          </w:p>
        </w:tc>
        <w:tc>
          <w:tcPr>
            <w:tcW w:w="87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分值</w:t>
            </w:r>
          </w:p>
        </w:tc>
        <w:tc>
          <w:tcPr>
            <w:tcW w:w="6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执行率</w:t>
            </w:r>
          </w:p>
        </w:tc>
        <w:tc>
          <w:tcPr>
            <w:tcW w:w="96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得分</w:t>
            </w:r>
          </w:p>
        </w:tc>
      </w:tr>
      <w:tr>
        <w:tblPrEx>
          <w:tblCellMar>
            <w:top w:w="0" w:type="dxa"/>
            <w:left w:w="108" w:type="dxa"/>
            <w:bottom w:w="0" w:type="dxa"/>
            <w:right w:w="108" w:type="dxa"/>
          </w:tblCellMar>
        </w:tblPrEx>
        <w:trPr>
          <w:trHeight w:val="247"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rPr>
                <w:rFonts w:hint="eastAsia" w:ascii="宋体" w:hAnsi="宋体" w:eastAsia="宋体" w:cs="宋体"/>
                <w:kern w:val="0"/>
                <w:sz w:val="18"/>
                <w:szCs w:val="18"/>
              </w:rPr>
            </w:pPr>
            <w:r>
              <w:rPr>
                <w:rFonts w:hint="eastAsia" w:ascii="宋体" w:hAnsi="宋体" w:eastAsia="宋体" w:cs="宋体"/>
                <w:kern w:val="0"/>
                <w:sz w:val="18"/>
                <w:szCs w:val="18"/>
              </w:rPr>
              <w:t>年度资金总额</w:t>
            </w:r>
          </w:p>
        </w:tc>
        <w:tc>
          <w:tcPr>
            <w:tcW w:w="113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360</w:t>
            </w:r>
          </w:p>
        </w:tc>
        <w:tc>
          <w:tcPr>
            <w:tcW w:w="12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360</w:t>
            </w:r>
          </w:p>
        </w:tc>
        <w:tc>
          <w:tcPr>
            <w:tcW w:w="123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359.55</w:t>
            </w:r>
          </w:p>
        </w:tc>
        <w:tc>
          <w:tcPr>
            <w:tcW w:w="87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w:t>
            </w:r>
          </w:p>
        </w:tc>
        <w:tc>
          <w:tcPr>
            <w:tcW w:w="6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99.9</w:t>
            </w:r>
          </w:p>
        </w:tc>
        <w:tc>
          <w:tcPr>
            <w:tcW w:w="96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9.9</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其中：当年财政拨款</w:t>
            </w:r>
          </w:p>
        </w:tc>
        <w:tc>
          <w:tcPr>
            <w:tcW w:w="113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360</w:t>
            </w:r>
          </w:p>
        </w:tc>
        <w:tc>
          <w:tcPr>
            <w:tcW w:w="12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360</w:t>
            </w:r>
          </w:p>
        </w:tc>
        <w:tc>
          <w:tcPr>
            <w:tcW w:w="123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359.55</w:t>
            </w:r>
          </w:p>
        </w:tc>
        <w:tc>
          <w:tcPr>
            <w:tcW w:w="87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6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 xml:space="preserve">      上年结转资金</w:t>
            </w:r>
          </w:p>
        </w:tc>
        <w:tc>
          <w:tcPr>
            <w:tcW w:w="113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0</w:t>
            </w:r>
          </w:p>
        </w:tc>
        <w:tc>
          <w:tcPr>
            <w:tcW w:w="12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23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87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6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1654"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767"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 xml:space="preserve">  其他资金</w:t>
            </w:r>
          </w:p>
        </w:tc>
        <w:tc>
          <w:tcPr>
            <w:tcW w:w="113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0</w:t>
            </w:r>
          </w:p>
        </w:tc>
        <w:tc>
          <w:tcPr>
            <w:tcW w:w="12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239"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876"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c>
          <w:tcPr>
            <w:tcW w:w="609"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1"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w:t>
            </w:r>
          </w:p>
        </w:tc>
      </w:tr>
      <w:tr>
        <w:tblPrEx>
          <w:tblCellMar>
            <w:top w:w="0" w:type="dxa"/>
            <w:left w:w="108" w:type="dxa"/>
            <w:bottom w:w="0" w:type="dxa"/>
            <w:right w:w="108" w:type="dxa"/>
          </w:tblCellMar>
        </w:tblPrEx>
        <w:trPr>
          <w:trHeight w:val="291" w:hRule="exact"/>
          <w:jc w:val="center"/>
        </w:trPr>
        <w:tc>
          <w:tcPr>
            <w:tcW w:w="69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年度总体目标</w:t>
            </w:r>
          </w:p>
        </w:tc>
        <w:tc>
          <w:tcPr>
            <w:tcW w:w="5064"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预期目标</w:t>
            </w:r>
          </w:p>
        </w:tc>
        <w:tc>
          <w:tcPr>
            <w:tcW w:w="3685"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实际完成情况</w:t>
            </w:r>
          </w:p>
        </w:tc>
      </w:tr>
      <w:tr>
        <w:tblPrEx>
          <w:tblCellMar>
            <w:top w:w="0" w:type="dxa"/>
            <w:left w:w="108" w:type="dxa"/>
            <w:bottom w:w="0" w:type="dxa"/>
            <w:right w:w="108" w:type="dxa"/>
          </w:tblCellMar>
        </w:tblPrEx>
        <w:trPr>
          <w:trHeight w:val="768"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5064"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通过购置高危传染病医务人员防护耗材，降低医务人员结核病发病率，同时降低结核病患者与陪护之间的交叉感染。</w:t>
            </w:r>
          </w:p>
        </w:tc>
        <w:tc>
          <w:tcPr>
            <w:tcW w:w="3685" w:type="dxa"/>
            <w:gridSpan w:val="6"/>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2023年全院医务人员未发生院内感染，同时结核病患者与陪护之间的交叉感染风险下降</w:t>
            </w:r>
          </w:p>
        </w:tc>
      </w:tr>
      <w:tr>
        <w:tblPrEx>
          <w:tblCellMar>
            <w:top w:w="0" w:type="dxa"/>
            <w:left w:w="108" w:type="dxa"/>
            <w:bottom w:w="0" w:type="dxa"/>
            <w:right w:w="108" w:type="dxa"/>
          </w:tblCellMar>
        </w:tblPrEx>
        <w:trPr>
          <w:trHeight w:val="517" w:hRule="exact"/>
          <w:jc w:val="center"/>
        </w:trPr>
        <w:tc>
          <w:tcPr>
            <w:tcW w:w="69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绩</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效</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指</w:t>
            </w:r>
            <w:r>
              <w:rPr>
                <w:rFonts w:hint="eastAsia" w:ascii="宋体" w:hAnsi="宋体" w:eastAsia="宋体" w:cs="宋体"/>
                <w:kern w:val="0"/>
                <w:sz w:val="18"/>
                <w:szCs w:val="18"/>
              </w:rPr>
              <w:br w:type="textWrapping"/>
            </w:r>
            <w:r>
              <w:rPr>
                <w:rFonts w:hint="eastAsia" w:ascii="宋体" w:hAnsi="宋体" w:eastAsia="宋体" w:cs="宋体"/>
                <w:kern w:val="0"/>
                <w:sz w:val="18"/>
                <w:szCs w:val="18"/>
              </w:rPr>
              <w:t>标</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（90分）</w:t>
            </w:r>
          </w:p>
        </w:tc>
        <w:tc>
          <w:tcPr>
            <w:tcW w:w="963"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一级指标</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二级指标</w:t>
            </w: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三级指标</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年度</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指标值</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实际</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完成值</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分值</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得分</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偏差原因分析及改进措施</w:t>
            </w: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bookmarkStart w:id="0" w:name="_GoBack" w:colFirst="7" w:colLast="7"/>
          </w:p>
        </w:tc>
        <w:tc>
          <w:tcPr>
            <w:tcW w:w="96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产出指标</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60</w:t>
            </w:r>
            <w:r>
              <w:rPr>
                <w:rFonts w:hint="eastAsia" w:ascii="宋体" w:hAnsi="宋体" w:eastAsia="宋体" w:cs="宋体"/>
                <w:kern w:val="0"/>
                <w:sz w:val="18"/>
                <w:szCs w:val="18"/>
              </w:rPr>
              <w:t>分</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数量指标</w:t>
            </w: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防护屏-面罩（个）</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17000</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17000</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外科口罩（只）</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400000</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400000</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内穿衣（套）</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1600</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1600</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消毒片（瓶，100片/瓶）</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5000</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5000</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2</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2</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医用包装无纺布（张，75mm×75mm）</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15000</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15000</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2</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2</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干手纸（包，50抽/包）</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10000</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10000</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2</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2</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防护口罩—N95（D918）（只）</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170000</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170000</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空气消毒剂（桶，7.5L/桶）</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1500</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1500</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2</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2</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乳胶手套，盒（L、M、S），50双/盒</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13000</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13000</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抗菌洗手液（瓶，500ml/瓶）</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3000</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3000</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除锈湿巾（盒，40片/盒）</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100</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100</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2</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2</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一次性使用隔离衣（件）</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12000</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12000</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医用包装无纺布 （张，100mm×100mm）</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15000</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15000</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2</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2</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表面消毒巾（包，50抽/包）</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5000</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5000</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传统型多酶清洗剂    （桶，4L/桶）</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150</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150</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2</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2</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一次性医用无纺布帽（个）</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7000</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7000</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sz w:val="18"/>
                <w:szCs w:val="18"/>
              </w:rPr>
              <w:t>3</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782"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质量指标</w:t>
            </w: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符合《医用防护口罩技术要求》（GB 19083-2010）、符合《医疗机构清洁消毒规范》要求、符合《软式内镜清洗消毒规范》WS 507-2016</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符合标准要求</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符合标准要求</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时效指标</w:t>
            </w: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招标前论证</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2023.044</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2023.04</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4</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4</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公开招标</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2023.08</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2023.06</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采购使用</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2023.12</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2023.10</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527"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成本指标</w:t>
            </w: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项目预算控制在360万元内</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360万</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359.55</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4</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4</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184"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效益指标</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lang w:val="en-US" w:eastAsia="zh-CN"/>
              </w:rPr>
              <w:t>20</w:t>
            </w:r>
            <w:r>
              <w:rPr>
                <w:rFonts w:hint="eastAsia" w:ascii="宋体" w:hAnsi="宋体" w:eastAsia="宋体" w:cs="宋体"/>
                <w:kern w:val="0"/>
                <w:sz w:val="18"/>
                <w:szCs w:val="18"/>
              </w:rPr>
              <w:t>分</w:t>
            </w: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经济效益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降低医务人员感染结核产生的误工费和医疗费等</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降低医务人员感染结核产生的误工费和医疗费等</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降低医务人员感染结核产生的误工费和医疗费等</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8</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6</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2023年未发生院内医务人员感染，因此并未产生误工费和医疗费等。</w:t>
            </w:r>
          </w:p>
        </w:tc>
      </w:tr>
      <w:tr>
        <w:tblPrEx>
          <w:tblCellMar>
            <w:top w:w="0" w:type="dxa"/>
            <w:left w:w="108" w:type="dxa"/>
            <w:bottom w:w="0" w:type="dxa"/>
            <w:right w:w="108" w:type="dxa"/>
          </w:tblCellMar>
        </w:tblPrEx>
        <w:trPr>
          <w:trHeight w:val="3329"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社会效益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减少医务人员结核的感染率以及通过医务人员传染给患者和患者传染给陪护的几率</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减少医务人员结核的感染率以及通过医务人员传染给患者和患者传染给陪护的几率</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减少医务人员结核的感染率以及通过医务人员传染给患者和患者传染给陪护的几率</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8</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6</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2023年未发生院内医务人员感染；因患者发生的院内感染难以评估，因此只能定性判断这种风险下降，无法获取具体数值。以后的工作中开展院感科研工作来评估这种风险</w:t>
            </w:r>
          </w:p>
        </w:tc>
      </w:tr>
      <w:tr>
        <w:tblPrEx>
          <w:tblCellMar>
            <w:top w:w="0" w:type="dxa"/>
            <w:left w:w="108" w:type="dxa"/>
            <w:bottom w:w="0" w:type="dxa"/>
            <w:right w:w="108" w:type="dxa"/>
          </w:tblCellMar>
        </w:tblPrEx>
        <w:trPr>
          <w:trHeight w:val="3234"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生态效益</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降低空气中的结核菌浓度，减少感染结核的几率</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降低空气中的结核菌浓度，减少感染结核的几率</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降低空气中的结核菌浓度，减少感染结核的几率</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2023年未发生院内医务人员感染；因结核菌培养困难、难以评估环境中的具体浓度，因此只能定性判断这种风险下降，无法获取具体数值。可在以后的工作中开展院感科研工作来评估这种风险</w:t>
            </w:r>
          </w:p>
        </w:tc>
      </w:tr>
      <w:tr>
        <w:tblPrEx>
          <w:tblCellMar>
            <w:top w:w="0" w:type="dxa"/>
            <w:left w:w="108" w:type="dxa"/>
            <w:bottom w:w="0" w:type="dxa"/>
            <w:right w:w="108" w:type="dxa"/>
          </w:tblCellMar>
        </w:tblPrEx>
        <w:trPr>
          <w:trHeight w:val="1254"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可持续影响指标</w:t>
            </w: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持续降因院内感染而导致的结核发病率，直至为零并一直保持</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2023年医务人员结核发病为0</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2023年医务人员结核发病为0</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2</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291"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满意度</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指标</w:t>
            </w:r>
          </w:p>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10分</w:t>
            </w:r>
          </w:p>
        </w:tc>
        <w:tc>
          <w:tcPr>
            <w:tcW w:w="1092"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服务对象满意度指标</w:t>
            </w: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提高医务人员满意度</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95%</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97%</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r>
        <w:tblPrEx>
          <w:tblCellMar>
            <w:top w:w="0" w:type="dxa"/>
            <w:left w:w="108" w:type="dxa"/>
            <w:bottom w:w="0" w:type="dxa"/>
            <w:right w:w="108" w:type="dxa"/>
          </w:tblCellMar>
        </w:tblPrEx>
        <w:trPr>
          <w:trHeight w:val="555" w:hRule="exact"/>
          <w:jc w:val="center"/>
        </w:trPr>
        <w:tc>
          <w:tcPr>
            <w:tcW w:w="69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963"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1092"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c>
          <w:tcPr>
            <w:tcW w:w="2111" w:type="dxa"/>
            <w:gridSpan w:val="3"/>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sz w:val="18"/>
                <w:szCs w:val="18"/>
              </w:rPr>
              <w:t>提高患者满意度</w:t>
            </w:r>
          </w:p>
        </w:tc>
        <w:tc>
          <w:tcPr>
            <w:tcW w:w="898"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95%</w:t>
            </w:r>
          </w:p>
        </w:tc>
        <w:tc>
          <w:tcPr>
            <w:tcW w:w="850"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97%</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r>
              <w:rPr>
                <w:rFonts w:hint="eastAsia" w:ascii="宋体" w:hAnsi="宋体" w:eastAsia="宋体" w:cs="宋体"/>
                <w:kern w:val="0"/>
                <w:sz w:val="18"/>
                <w:szCs w:val="18"/>
              </w:rPr>
              <w:t>5</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bookmarkEnd w:id="0"/>
      <w:tr>
        <w:tblPrEx>
          <w:tblCellMar>
            <w:top w:w="0" w:type="dxa"/>
            <w:left w:w="108" w:type="dxa"/>
            <w:bottom w:w="0" w:type="dxa"/>
            <w:right w:w="108" w:type="dxa"/>
          </w:tblCellMar>
        </w:tblPrEx>
        <w:trPr>
          <w:trHeight w:val="441" w:hRule="exact"/>
          <w:jc w:val="center"/>
        </w:trPr>
        <w:tc>
          <w:tcPr>
            <w:tcW w:w="6605" w:type="dxa"/>
            <w:gridSpan w:val="8"/>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rPr>
              <w:t>总分</w:t>
            </w:r>
          </w:p>
        </w:tc>
        <w:tc>
          <w:tcPr>
            <w:tcW w:w="601"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left"/>
              <w:rPr>
                <w:rFonts w:hint="eastAsia" w:ascii="宋体" w:hAnsi="宋体" w:eastAsia="宋体" w:cs="宋体"/>
                <w:color w:val="000000"/>
                <w:kern w:val="0"/>
                <w:sz w:val="18"/>
                <w:szCs w:val="18"/>
              </w:rPr>
            </w:pPr>
            <w:r>
              <w:rPr>
                <w:rFonts w:hint="eastAsia" w:ascii="宋体" w:hAnsi="宋体" w:eastAsia="宋体" w:cs="宋体"/>
                <w:color w:val="000000"/>
                <w:kern w:val="0"/>
                <w:sz w:val="18"/>
                <w:szCs w:val="18"/>
                <w:lang w:val="en-US" w:eastAsia="zh-CN"/>
              </w:rPr>
              <w:t>100</w:t>
            </w:r>
          </w:p>
        </w:tc>
        <w:tc>
          <w:tcPr>
            <w:tcW w:w="664" w:type="dxa"/>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color w:val="000000"/>
                <w:kern w:val="0"/>
                <w:sz w:val="18"/>
                <w:szCs w:val="18"/>
                <w:lang w:val="en-US" w:eastAsia="zh-CN"/>
              </w:rPr>
            </w:pPr>
            <w:r>
              <w:rPr>
                <w:rFonts w:hint="eastAsia" w:ascii="宋体" w:hAnsi="宋体" w:eastAsia="宋体" w:cs="宋体"/>
                <w:color w:val="000000"/>
                <w:kern w:val="0"/>
                <w:sz w:val="18"/>
                <w:szCs w:val="18"/>
                <w:lang w:val="en-US" w:eastAsia="zh-CN"/>
              </w:rPr>
              <w:t>94.9</w:t>
            </w:r>
          </w:p>
        </w:tc>
        <w:tc>
          <w:tcPr>
            <w:tcW w:w="1570" w:type="dxa"/>
            <w:gridSpan w:val="2"/>
            <w:tcBorders>
              <w:top w:val="single" w:color="auto" w:sz="4" w:space="0"/>
              <w:left w:val="single" w:color="auto" w:sz="4" w:space="0"/>
              <w:bottom w:val="single" w:color="auto" w:sz="4" w:space="0"/>
              <w:right w:val="single" w:color="auto" w:sz="4" w:space="0"/>
            </w:tcBorders>
            <w:vAlign w:val="center"/>
          </w:tcPr>
          <w:p>
            <w:pPr>
              <w:widowControl/>
              <w:spacing w:line="240" w:lineRule="exact"/>
              <w:jc w:val="center"/>
              <w:rPr>
                <w:rFonts w:hint="eastAsia" w:ascii="宋体" w:hAnsi="宋体" w:eastAsia="宋体" w:cs="宋体"/>
                <w:kern w:val="0"/>
                <w:sz w:val="18"/>
                <w:szCs w:val="18"/>
              </w:rPr>
            </w:pPr>
          </w:p>
        </w:tc>
      </w:tr>
    </w:tbl>
    <w:p>
      <w:pPr>
        <w:rPr>
          <w:rFonts w:hint="eastAsia" w:ascii="宋体" w:hAnsi="宋体" w:eastAsia="宋体" w:cs="宋体"/>
          <w:sz w:val="18"/>
          <w:szCs w:val="18"/>
        </w:rPr>
      </w:pPr>
    </w:p>
    <w:sectPr>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4OTYxMjk5OGJkODhiM2ZlNmViNTBkNjFjZmMzY2MifQ=="/>
  </w:docVars>
  <w:rsids>
    <w:rsidRoot w:val="28FF42C9"/>
    <w:rsid w:val="0008762C"/>
    <w:rsid w:val="005D30F1"/>
    <w:rsid w:val="007E6E63"/>
    <w:rsid w:val="009F1ABA"/>
    <w:rsid w:val="00A6030C"/>
    <w:rsid w:val="00A63ACD"/>
    <w:rsid w:val="00C73072"/>
    <w:rsid w:val="0167401F"/>
    <w:rsid w:val="01D92B7A"/>
    <w:rsid w:val="02394460"/>
    <w:rsid w:val="14D11877"/>
    <w:rsid w:val="1C46568C"/>
    <w:rsid w:val="28FF42C9"/>
    <w:rsid w:val="2B072FE7"/>
    <w:rsid w:val="3D632551"/>
    <w:rsid w:val="404426FE"/>
    <w:rsid w:val="60EF50B4"/>
    <w:rsid w:val="63872CC8"/>
    <w:rsid w:val="675202EB"/>
    <w:rsid w:val="6E7838C8"/>
    <w:rsid w:val="6E995C44"/>
    <w:rsid w:val="7E3F60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spacing w:before="50" w:beforeLines="50"/>
      <w:ind w:firstLine="670" w:firstLineChars="200"/>
      <w:jc w:val="left"/>
      <w:outlineLvl w:val="0"/>
    </w:pPr>
    <w:rPr>
      <w:rFonts w:hint="eastAsia" w:eastAsia="黑体"/>
      <w:kern w:val="44"/>
      <w:sz w:val="32"/>
      <w:szCs w:val="32"/>
    </w:rPr>
  </w:style>
  <w:style w:type="paragraph" w:styleId="3">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8">
    <w:name w:val="Default Paragraph Font"/>
    <w:semiHidden/>
    <w:unhideWhenUsed/>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4">
    <w:name w:val="footer"/>
    <w:basedOn w:val="1"/>
    <w:link w:val="10"/>
    <w:autoRedefine/>
    <w:qFormat/>
    <w:uiPriority w:val="0"/>
    <w:pPr>
      <w:tabs>
        <w:tab w:val="center" w:pos="4153"/>
        <w:tab w:val="right" w:pos="8306"/>
      </w:tabs>
      <w:snapToGrid w:val="0"/>
      <w:jc w:val="left"/>
    </w:pPr>
    <w:rPr>
      <w:sz w:val="18"/>
      <w:szCs w:val="18"/>
    </w:rPr>
  </w:style>
  <w:style w:type="paragraph" w:styleId="5">
    <w:name w:val="header"/>
    <w:basedOn w:val="1"/>
    <w:link w:val="9"/>
    <w:qFormat/>
    <w:uiPriority w:val="0"/>
    <w:pP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kern w:val="0"/>
      <w:sz w:val="24"/>
    </w:rPr>
  </w:style>
  <w:style w:type="character" w:customStyle="1" w:styleId="9">
    <w:name w:val="页眉 字符"/>
    <w:basedOn w:val="8"/>
    <w:link w:val="5"/>
    <w:qFormat/>
    <w:uiPriority w:val="0"/>
    <w:rPr>
      <w:kern w:val="2"/>
      <w:sz w:val="18"/>
      <w:szCs w:val="18"/>
    </w:rPr>
  </w:style>
  <w:style w:type="character" w:customStyle="1" w:styleId="10">
    <w:name w:val="页脚 字符"/>
    <w:basedOn w:val="8"/>
    <w:link w:val="4"/>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1238</Words>
  <Characters>1529</Characters>
  <Lines>14</Lines>
  <Paragraphs>4</Paragraphs>
  <TotalTime>60</TotalTime>
  <ScaleCrop>false</ScaleCrop>
  <LinksUpToDate>false</LinksUpToDate>
  <CharactersWithSpaces>1544</CharactersWithSpaces>
  <Application>WPS Office_12.1.0.16910_F1E327BC-269C-435d-A152-05C5408002CA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2024-04-16T02:39:00Z</dcterms:created>
  <dc:creator>csj</dc:creator>
  <cp:lastModifiedBy>.</cp:lastModifiedBy>
  <dcterms:modified xsi:type="dcterms:W3CDTF">2024-05-11T10:25:31Z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2052-12.1.0.16910</vt:lpwstr>
  </property>
  <property fmtid="{D5CDD505-2E9C-101B-9397-08002B2CF9AE}" pid="3" name="ICV">
    <vt:lpwstr>5A3D3DA7151E4AE9B8B114F843FFE870_13</vt:lpwstr>
  </property>
</Properties>
</file>