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3"/>
        <w:gridCol w:w="592"/>
        <w:gridCol w:w="885"/>
        <w:gridCol w:w="463"/>
        <w:gridCol w:w="1480"/>
        <w:gridCol w:w="1533"/>
        <w:gridCol w:w="1041"/>
        <w:gridCol w:w="510"/>
        <w:gridCol w:w="863"/>
        <w:gridCol w:w="7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8522" w:type="dxa"/>
            <w:gridSpan w:val="10"/>
            <w:tcBorders>
              <w:top w:val="nil"/>
              <w:left w:val="nil"/>
              <w:bottom w:val="nil"/>
              <w:right w:val="nil"/>
            </w:tcBorders>
            <w:shd w:val="clear" w:color="auto" w:fill="auto"/>
            <w:vAlign w:val="center"/>
          </w:tcPr>
          <w:p>
            <w:pPr>
              <w:keepNext w:val="0"/>
              <w:keepLines w:val="0"/>
              <w:widowControl/>
              <w:suppressLineNumbers w:val="0"/>
              <w:spacing w:line="560" w:lineRule="exact"/>
              <w:jc w:val="left"/>
              <w:textAlignment w:val="center"/>
              <w:rPr>
                <w:rFonts w:ascii="方正小标宋简体" w:hAnsi="方正小标宋简体" w:eastAsia="方正小标宋简体" w:cs="方正小标宋简体"/>
                <w:i w:val="0"/>
                <w:iCs w:val="0"/>
                <w:color w:val="000000"/>
                <w:sz w:val="36"/>
                <w:szCs w:val="36"/>
                <w:u w:val="none"/>
              </w:rPr>
            </w:pPr>
            <w:r>
              <w:rPr>
                <w:rFonts w:hint="eastAsia" w:ascii="黑体" w:hAnsi="黑体" w:eastAsia="黑体"/>
                <w:sz w:val="32"/>
                <w:szCs w:val="32"/>
              </w:rPr>
              <w:t>附件</w:t>
            </w:r>
            <w:r>
              <w:rPr>
                <w:rFonts w:hint="eastAsia" w:ascii="黑体" w:hAnsi="黑体" w:eastAsia="黑体"/>
                <w:sz w:val="32"/>
                <w:szCs w:val="32"/>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8522" w:type="dxa"/>
            <w:gridSpan w:val="10"/>
            <w:tcBorders>
              <w:top w:val="nil"/>
              <w:left w:val="nil"/>
              <w:bottom w:val="single" w:color="000000" w:sz="4" w:space="0"/>
              <w:right w:val="nil"/>
            </w:tcBorders>
            <w:shd w:val="clear" w:color="auto" w:fill="auto"/>
            <w:vAlign w:val="center"/>
          </w:tcPr>
          <w:tbl>
            <w:tblPr>
              <w:tblStyle w:val="2"/>
              <w:tblW w:w="9224" w:type="dxa"/>
              <w:jc w:val="center"/>
              <w:tblLayout w:type="autofit"/>
              <w:tblCellMar>
                <w:top w:w="0" w:type="dxa"/>
                <w:left w:w="108" w:type="dxa"/>
                <w:bottom w:w="0" w:type="dxa"/>
                <w:right w:w="108" w:type="dxa"/>
              </w:tblCellMar>
            </w:tblPr>
            <w:tblGrid>
              <w:gridCol w:w="9224"/>
            </w:tblGrid>
            <w:tr>
              <w:tblPrEx>
                <w:tblCellMar>
                  <w:top w:w="0" w:type="dxa"/>
                  <w:left w:w="108" w:type="dxa"/>
                  <w:bottom w:w="0" w:type="dxa"/>
                  <w:right w:w="108" w:type="dxa"/>
                </w:tblCellMar>
              </w:tblPrEx>
              <w:trPr>
                <w:trHeight w:val="440" w:hRule="exact"/>
                <w:jc w:val="center"/>
              </w:trPr>
              <w:tc>
                <w:tcPr>
                  <w:tcW w:w="9224" w:type="dxa"/>
                  <w:tcBorders>
                    <w:top w:val="nil"/>
                    <w:left w:val="nil"/>
                    <w:bottom w:val="nil"/>
                    <w:right w:val="nil"/>
                  </w:tcBorders>
                  <w:noWrap w:val="0"/>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224" w:type="dxa"/>
                  <w:tcBorders>
                    <w:top w:val="nil"/>
                    <w:left w:val="nil"/>
                    <w:bottom w:val="nil"/>
                    <w:right w:val="nil"/>
                  </w:tcBorders>
                  <w:noWrap w:val="0"/>
                  <w:vAlign w:val="top"/>
                </w:tcPr>
                <w:p>
                  <w:pPr>
                    <w:widowControl/>
                    <w:jc w:val="center"/>
                    <w:rPr>
                      <w:rFonts w:ascii="宋体" w:hAnsi="宋体" w:cs="宋体"/>
                      <w:kern w:val="0"/>
                      <w:sz w:val="22"/>
                    </w:rPr>
                  </w:pPr>
                  <w:r>
                    <w:rPr>
                      <w:rFonts w:hint="eastAsia" w:ascii="宋体" w:hAnsi="宋体" w:cs="宋体"/>
                      <w:kern w:val="0"/>
                      <w:sz w:val="22"/>
                    </w:rPr>
                    <w:t>（</w:t>
                  </w:r>
                  <w:r>
                    <w:rPr>
                      <w:rFonts w:hint="eastAsia" w:ascii="宋体" w:hAnsi="宋体" w:cs="宋体"/>
                      <w:kern w:val="0"/>
                      <w:sz w:val="22"/>
                      <w:lang w:val="en-US" w:eastAsia="zh-CN"/>
                    </w:rPr>
                    <w:t>2023</w:t>
                  </w:r>
                  <w:r>
                    <w:rPr>
                      <w:rFonts w:hint="eastAsia" w:ascii="宋体" w:hAnsi="宋体" w:cs="宋体"/>
                      <w:kern w:val="0"/>
                      <w:sz w:val="22"/>
                    </w:rPr>
                    <w:t>年度）</w:t>
                  </w:r>
                </w:p>
              </w:tc>
            </w:tr>
          </w:tbl>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47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胸科医院修缮改造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5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北京市医院管理中心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2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0" w:name="_GoBack"/>
            <w:bookmarkEnd w:id="0"/>
            <w:r>
              <w:rPr>
                <w:rFonts w:hint="eastAsia" w:ascii="宋体" w:hAnsi="宋体" w:eastAsia="宋体" w:cs="宋体"/>
                <w:i w:val="0"/>
                <w:iCs w:val="0"/>
                <w:color w:val="000000"/>
                <w:kern w:val="0"/>
                <w:sz w:val="18"/>
                <w:szCs w:val="18"/>
                <w:u w:val="none"/>
                <w:lang w:val="en-US" w:eastAsia="zh-CN" w:bidi="ar"/>
              </w:rPr>
              <w:t>首都医科大学附属北京胸科医院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5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w:t>
            </w:r>
          </w:p>
        </w:tc>
        <w:tc>
          <w:tcPr>
            <w:tcW w:w="25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潘军华</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联系电话</w:t>
            </w:r>
          </w:p>
        </w:tc>
        <w:tc>
          <w:tcPr>
            <w:tcW w:w="12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010-89509288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52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7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52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8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903.83</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903.83</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878.42518</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97.19%</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52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8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903.83</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903.83</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878.42518</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97.19%</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52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8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52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8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52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5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187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8" w:hRule="atLeast"/>
        </w:trPr>
        <w:tc>
          <w:tcPr>
            <w:tcW w:w="52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实施修缮改造项目，有效提升所在地区重大公共卫生事件应对处置能力，降低医院院感发生风险，改善就医环境，为北京市的结核患者提供更多高质量医疗服务，为其他胸部疾病患者提供更多就医选择，缓解其他综合医院胸部疾病患者人满为患、患者看病难的状况。</w:t>
            </w:r>
          </w:p>
        </w:tc>
        <w:tc>
          <w:tcPr>
            <w:tcW w:w="187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度已完成了院内医疗用房改造项目首款支付工作，并有序实施了院内内镜中心、门诊区域、急诊区域修缮项目造价、设计、施工、监理等工作的的前期招标及合同签署等工作；2023年11月-12月为应对北京市支原体感染爆发流行，医院优先提供医疗保障服务，门诊、急诊、内镜中心等业务科室无法按原计划进行腾挪，导致项目施工时间向后推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5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修缮内镜诊疗中心区域的平方数</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513.81 平米</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11月-12月为应对北京市支原体感染暴发流行，医院为了优先提供医疗保障服务，项目中的门诊、急诊、内镜中心等业务科室无法按原计划进行腾挪，导致项目施工时间向后推迟，未能有效按照计划进度予以实施；24年度项目将根据本市消隐项目实施标准及全院消隐改造项目实施计划进行规划。24年根据本市消隐工作以及安全施工管理要求进行规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修缮门诊区域的平方数</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1124.73 平米</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修缮急诊区域的平方数</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880.17 平米</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0"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改造房屋质量标准和布局</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符合《工程施工质量验收规范》、《建筑装饰装修工程质量验收规范》、《国家洁净实验室相关标准》</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工程改造验收合格率</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医疗用房改造项目尾款支付</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2023年8月31日前</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2023年12月</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5"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完成前期审批手续并进行招标前期准备工作，签订设计合同、造价咨询合同，完成建筑设计工作，工程造价编制工作，并出具各专业施工图纸。</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2023年4月30日前</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2023/7/28</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5"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开展施工单位招标工作，签订施工合同，完成施工招标公告、专家评审、中标公示、签订合同工作；采购、完成监理合同签署。</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2023年6月30日前</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2023/8/25</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3"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竣工验收、投入使用。</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2023年12月31日前</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项目未能有效实施</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成本控制在预算内，资金使用合法合规</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903.83万元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878.425万元</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5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急诊科年服务能力显著提升</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项目完成后将有效达成</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院内医疗需求（疫情使用）无法腾出建设场地以及院内安全检查等原因，暂未施工。项目实施完工后相应效益能够有效实现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内镜诊疗中心年服务能力显著提升</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项目完成后将有效达成</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8"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服务面向北京市、京津冀地区和全国的患者，有效提升服务能力和环境；降低门急诊区域的院感风险。</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服务面向北京市、京津冀地区和全国的患者，有效提升服务能力和环境；降低门急诊区域的院感风险。</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项目完成后将有效达成</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8"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造门诊区域，规范诊室设置，适当扩大候诊区域，满足学科发展和患者就医体验诉求；充分利用急诊大厅区域，改善医疗区布局和就诊环境，将急诊患者和结核住院患者流线独立设置；改善内镜诊疗中心医疗区域布局，增加操作间，确保结核病人与非结核病人物理隔离，降低患者间、医患间的院感风险。</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造门诊区域，规范诊室设置，适当扩大候诊区域，满足学科发展和患者就医体验诉求；充分利用急诊大厅区域，改善医疗区布局和就诊环境，将急诊患者和结核住院患者流线独立设置；改善内镜诊疗中心医疗区域布局，增加操作间，确保结核病人与非结核病人物理隔离，降低患者间、医患间的院感风险。</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项目完成后将有效达成</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9" w:hRule="atLeast"/>
        </w:trPr>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15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患者满意度</w:t>
            </w:r>
          </w:p>
        </w:tc>
        <w:tc>
          <w:tcPr>
            <w:tcW w:w="9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项目尚未到满意度调查实施阶段</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374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61.72</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8E67FB-F36A-4888-A2ED-ED95EB8FBE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1D9988EF-9602-4643-B9D2-32D88FDDAD8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4OTYxMjk5OGJkODhiM2ZlNmViNTBkNjFjZmMzY2MifQ=="/>
  </w:docVars>
  <w:rsids>
    <w:rsidRoot w:val="445C68CC"/>
    <w:rsid w:val="1FBF26EF"/>
    <w:rsid w:val="445C68CC"/>
    <w:rsid w:val="47931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1538</Words>
  <Characters>1711</Characters>
  <Lines>0</Lines>
  <Paragraphs>0</Paragraphs>
  <TotalTime>0</TotalTime>
  <ScaleCrop>false</ScaleCrop>
  <LinksUpToDate>false</LinksUpToDate>
  <CharactersWithSpaces>1726</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2024-05-11T09:14:00Z</dcterms:created>
  <dc:creator>.</dc:creator>
  <cp:lastModifiedBy>.</cp:lastModifiedBy>
  <dcterms:modified xsi:type="dcterms:W3CDTF">2024-05-11T10:17:26Z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CE04457AAB7043DF91D40A6BB7792E89_11</vt:lpwstr>
  </property>
</Properties>
</file>