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仿宋_GB2312" w:eastAsia="黑体"/>
          <w:sz w:val="32"/>
          <w:szCs w:val="32"/>
          <w:lang w:eastAsia="zh-CN"/>
        </w:rPr>
      </w:pPr>
      <w:r>
        <w:rPr>
          <w:rFonts w:hint="eastAsia" w:ascii="黑体" w:hAnsi="黑体" w:eastAsia="黑体"/>
          <w:sz w:val="32"/>
          <w:szCs w:val="32"/>
        </w:rPr>
        <w:t>附件</w:t>
      </w:r>
      <w:r>
        <w:rPr>
          <w:rFonts w:hint="eastAsia" w:ascii="黑体" w:hAnsi="黑体" w:eastAsia="黑体"/>
          <w:sz w:val="32"/>
          <w:szCs w:val="32"/>
          <w:lang w:val="en-US" w:eastAsia="zh-CN"/>
        </w:rPr>
        <w:t>2</w:t>
      </w:r>
    </w:p>
    <w:tbl>
      <w:tblPr>
        <w:tblStyle w:val="5"/>
        <w:tblW w:w="9041" w:type="dxa"/>
        <w:jc w:val="center"/>
        <w:tblLayout w:type="fixed"/>
        <w:tblCellMar>
          <w:top w:w="0" w:type="dxa"/>
          <w:left w:w="108" w:type="dxa"/>
          <w:bottom w:w="0" w:type="dxa"/>
          <w:right w:w="108" w:type="dxa"/>
        </w:tblCellMar>
      </w:tblPr>
      <w:tblGrid>
        <w:gridCol w:w="691"/>
        <w:gridCol w:w="963"/>
        <w:gridCol w:w="1092"/>
        <w:gridCol w:w="675"/>
        <w:gridCol w:w="1133"/>
        <w:gridCol w:w="450"/>
        <w:gridCol w:w="710"/>
        <w:gridCol w:w="819"/>
        <w:gridCol w:w="461"/>
        <w:gridCol w:w="96"/>
        <w:gridCol w:w="737"/>
        <w:gridCol w:w="581"/>
        <w:gridCol w:w="633"/>
      </w:tblGrid>
      <w:tr>
        <w:tblPrEx>
          <w:tblCellMar>
            <w:top w:w="0" w:type="dxa"/>
            <w:left w:w="108" w:type="dxa"/>
            <w:bottom w:w="0" w:type="dxa"/>
            <w:right w:w="108" w:type="dxa"/>
          </w:tblCellMar>
        </w:tblPrEx>
        <w:trPr>
          <w:trHeight w:val="440" w:hRule="exact"/>
          <w:jc w:val="center"/>
        </w:trPr>
        <w:tc>
          <w:tcPr>
            <w:tcW w:w="9041" w:type="dxa"/>
            <w:gridSpan w:val="13"/>
            <w:tcBorders>
              <w:top w:val="nil"/>
              <w:left w:val="nil"/>
              <w:bottom w:val="nil"/>
              <w:right w:val="nil"/>
            </w:tcBorders>
            <w:noWrap w:val="0"/>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9041" w:type="dxa"/>
            <w:gridSpan w:val="13"/>
            <w:tcBorders>
              <w:top w:val="nil"/>
              <w:left w:val="nil"/>
              <w:bottom w:val="single" w:color="auto" w:sz="4" w:space="0"/>
              <w:right w:val="nil"/>
            </w:tcBorders>
            <w:noWrap w:val="0"/>
            <w:vAlign w:val="top"/>
          </w:tcPr>
          <w:p>
            <w:pPr>
              <w:widowControl/>
              <w:jc w:val="center"/>
              <w:rPr>
                <w:rFonts w:ascii="宋体" w:hAnsi="宋体" w:cs="宋体"/>
                <w:kern w:val="0"/>
                <w:sz w:val="22"/>
              </w:rPr>
            </w:pPr>
            <w:r>
              <w:rPr>
                <w:rFonts w:hint="eastAsia" w:ascii="宋体" w:hAnsi="宋体" w:cs="宋体"/>
                <w:kern w:val="0"/>
                <w:sz w:val="22"/>
              </w:rPr>
              <w:t>（</w:t>
            </w:r>
            <w:r>
              <w:rPr>
                <w:rFonts w:hint="eastAsia" w:ascii="宋体" w:hAnsi="宋体" w:cs="宋体"/>
                <w:kern w:val="0"/>
                <w:sz w:val="22"/>
                <w:lang w:val="en-US" w:eastAsia="zh-CN"/>
              </w:rPr>
              <w:t>2023</w:t>
            </w:r>
            <w:r>
              <w:rPr>
                <w:rFonts w:hint="eastAsia" w:ascii="宋体" w:hAnsi="宋体" w:cs="宋体"/>
                <w:kern w:val="0"/>
                <w:sz w:val="22"/>
              </w:rPr>
              <w:t>年度）</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1"/>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胸科医院中央转移支付重大传染病防控</w:t>
            </w:r>
          </w:p>
        </w:tc>
      </w:tr>
      <w:tr>
        <w:tblPrEx>
          <w:tblCellMar>
            <w:top w:w="0" w:type="dxa"/>
            <w:left w:w="108" w:type="dxa"/>
            <w:bottom w:w="0" w:type="dxa"/>
            <w:right w:w="108" w:type="dxa"/>
          </w:tblCellMar>
        </w:tblPrEx>
        <w:trPr>
          <w:trHeight w:val="506" w:hRule="exact"/>
          <w:jc w:val="center"/>
        </w:trPr>
        <w:tc>
          <w:tcPr>
            <w:tcW w:w="165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主管部门</w:t>
            </w:r>
          </w:p>
        </w:tc>
        <w:tc>
          <w:tcPr>
            <w:tcW w:w="4060"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215-北京市医院管理中心</w:t>
            </w:r>
          </w:p>
        </w:tc>
        <w:tc>
          <w:tcPr>
            <w:tcW w:w="128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实施单位</w:t>
            </w:r>
          </w:p>
        </w:tc>
        <w:tc>
          <w:tcPr>
            <w:tcW w:w="2047"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首都医科大学附属北京胸科医院</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项目负责人</w:t>
            </w:r>
          </w:p>
        </w:tc>
        <w:tc>
          <w:tcPr>
            <w:tcW w:w="4060"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刘宇红</w:t>
            </w:r>
            <w:r>
              <w:rPr>
                <w:rFonts w:hint="eastAsia" w:ascii="宋体" w:hAnsi="宋体" w:eastAsia="宋体" w:cs="宋体"/>
                <w:kern w:val="0"/>
                <w:sz w:val="18"/>
                <w:szCs w:val="18"/>
                <w:lang w:eastAsia="zh-CN"/>
              </w:rPr>
              <w:t>、刘洋</w:t>
            </w:r>
          </w:p>
        </w:tc>
        <w:tc>
          <w:tcPr>
            <w:tcW w:w="128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联系电话</w:t>
            </w:r>
          </w:p>
        </w:tc>
        <w:tc>
          <w:tcPr>
            <w:tcW w:w="2047"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89509135</w:t>
            </w: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9370</w:t>
            </w:r>
          </w:p>
          <w:p>
            <w:pPr>
              <w:widowControl/>
              <w:spacing w:line="240" w:lineRule="exact"/>
              <w:jc w:val="both"/>
              <w:rPr>
                <w:rFonts w:hint="eastAsia" w:ascii="宋体" w:hAnsi="宋体" w:eastAsia="宋体" w:cs="宋体"/>
                <w:kern w:val="0"/>
                <w:sz w:val="18"/>
                <w:szCs w:val="18"/>
                <w:lang w:val="en-US" w:eastAsia="zh-CN"/>
              </w:rPr>
            </w:pPr>
          </w:p>
        </w:tc>
      </w:tr>
      <w:tr>
        <w:tblPrEx>
          <w:tblCellMar>
            <w:top w:w="0" w:type="dxa"/>
            <w:left w:w="108" w:type="dxa"/>
            <w:bottom w:w="0" w:type="dxa"/>
            <w:right w:w="108" w:type="dxa"/>
          </w:tblCellMar>
        </w:tblPrEx>
        <w:trPr>
          <w:trHeight w:val="644" w:hRule="exact"/>
          <w:jc w:val="center"/>
        </w:trPr>
        <w:tc>
          <w:tcPr>
            <w:tcW w:w="1654"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76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13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年初预算数</w:t>
            </w:r>
          </w:p>
        </w:tc>
        <w:tc>
          <w:tcPr>
            <w:tcW w:w="11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全年预算数</w:t>
            </w:r>
          </w:p>
        </w:tc>
        <w:tc>
          <w:tcPr>
            <w:tcW w:w="128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全年执行数</w:t>
            </w:r>
          </w:p>
        </w:tc>
        <w:tc>
          <w:tcPr>
            <w:tcW w:w="833"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分值</w:t>
            </w:r>
          </w:p>
        </w:tc>
        <w:tc>
          <w:tcPr>
            <w:tcW w:w="58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执行率</w:t>
            </w:r>
          </w:p>
        </w:tc>
        <w:tc>
          <w:tcPr>
            <w:tcW w:w="63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490"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76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eastAsia" w:ascii="宋体" w:hAnsi="宋体" w:eastAsia="宋体" w:cs="宋体"/>
                <w:kern w:val="0"/>
                <w:sz w:val="18"/>
                <w:szCs w:val="18"/>
              </w:rPr>
            </w:pPr>
            <w:r>
              <w:rPr>
                <w:rFonts w:hint="eastAsia" w:ascii="宋体" w:hAnsi="宋体" w:eastAsia="宋体" w:cs="宋体"/>
                <w:kern w:val="0"/>
                <w:sz w:val="18"/>
                <w:szCs w:val="18"/>
              </w:rPr>
              <w:t>年度资金总额</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173</w:t>
            </w:r>
          </w:p>
        </w:tc>
        <w:tc>
          <w:tcPr>
            <w:tcW w:w="11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173</w:t>
            </w:r>
          </w:p>
        </w:tc>
        <w:tc>
          <w:tcPr>
            <w:tcW w:w="128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165.631142</w:t>
            </w:r>
          </w:p>
        </w:tc>
        <w:tc>
          <w:tcPr>
            <w:tcW w:w="833"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58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95.74%</w:t>
            </w:r>
          </w:p>
        </w:tc>
        <w:tc>
          <w:tcPr>
            <w:tcW w:w="63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9.57</w:t>
            </w:r>
          </w:p>
        </w:tc>
      </w:tr>
      <w:tr>
        <w:tblPrEx>
          <w:tblCellMar>
            <w:top w:w="0" w:type="dxa"/>
            <w:left w:w="108" w:type="dxa"/>
            <w:bottom w:w="0" w:type="dxa"/>
            <w:right w:w="108" w:type="dxa"/>
          </w:tblCellMar>
        </w:tblPrEx>
        <w:trPr>
          <w:trHeight w:val="576"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76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173</w:t>
            </w:r>
          </w:p>
        </w:tc>
        <w:tc>
          <w:tcPr>
            <w:tcW w:w="11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173</w:t>
            </w:r>
          </w:p>
        </w:tc>
        <w:tc>
          <w:tcPr>
            <w:tcW w:w="128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165.631142</w:t>
            </w:r>
          </w:p>
        </w:tc>
        <w:tc>
          <w:tcPr>
            <w:tcW w:w="833"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58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95.74%</w:t>
            </w:r>
          </w:p>
        </w:tc>
        <w:tc>
          <w:tcPr>
            <w:tcW w:w="63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76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1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28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833"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58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63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76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1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28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833"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58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63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69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年度总体目标</w:t>
            </w:r>
          </w:p>
        </w:tc>
        <w:tc>
          <w:tcPr>
            <w:tcW w:w="5023" w:type="dxa"/>
            <w:gridSpan w:val="6"/>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预期目标</w:t>
            </w:r>
          </w:p>
        </w:tc>
        <w:tc>
          <w:tcPr>
            <w:tcW w:w="3327" w:type="dxa"/>
            <w:gridSpan w:val="6"/>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3564" w:hRule="exact"/>
          <w:jc w:val="center"/>
        </w:trPr>
        <w:tc>
          <w:tcPr>
            <w:tcW w:w="69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5023" w:type="dxa"/>
            <w:gridSpan w:val="6"/>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360" w:firstLineChars="200"/>
              <w:jc w:val="left"/>
              <w:rPr>
                <w:rFonts w:hint="eastAsia" w:ascii="宋体" w:hAnsi="宋体" w:eastAsia="宋体" w:cs="宋体"/>
                <w:kern w:val="0"/>
                <w:sz w:val="18"/>
                <w:szCs w:val="18"/>
              </w:rPr>
            </w:pPr>
            <w:r>
              <w:rPr>
                <w:rFonts w:hint="eastAsia" w:ascii="宋体" w:hAnsi="宋体" w:eastAsia="宋体" w:cs="宋体"/>
                <w:kern w:val="0"/>
                <w:sz w:val="18"/>
                <w:szCs w:val="18"/>
              </w:rPr>
              <w:t>受国家卫健委疾控局委托，围绕国家结核病防治规划开展肺结核临床规范化诊疗和患者管理规范化建设、实验室质量控制、健康促进和西部支持等相关工作，推进规划各项措施的落实。为进一步减少结核感染、患病和死亡提供支持，切实降低结核病疾病负担，提高人民群众健康水平，促进国民经济发展和社会和谐稳定。</w:t>
            </w:r>
          </w:p>
          <w:p>
            <w:pPr>
              <w:widowControl/>
              <w:spacing w:line="240" w:lineRule="exact"/>
              <w:ind w:firstLine="360" w:firstLineChars="200"/>
              <w:jc w:val="left"/>
              <w:rPr>
                <w:rFonts w:hint="eastAsia" w:ascii="宋体" w:hAnsi="宋体" w:eastAsia="宋体" w:cs="宋体"/>
                <w:kern w:val="0"/>
                <w:sz w:val="18"/>
                <w:szCs w:val="18"/>
              </w:rPr>
            </w:pPr>
            <w:r>
              <w:rPr>
                <w:rFonts w:hint="eastAsia" w:ascii="宋体" w:hAnsi="宋体" w:eastAsia="宋体" w:cs="宋体"/>
                <w:kern w:val="0"/>
                <w:sz w:val="18"/>
                <w:szCs w:val="18"/>
              </w:rPr>
              <w:t>疾控处按照北京市结核病诊疗规范（2020版）的要求，在我院加强对结核病患者的规范化治疗</w:t>
            </w:r>
            <w:bookmarkStart w:id="0" w:name="_GoBack"/>
            <w:bookmarkEnd w:id="0"/>
            <w:r>
              <w:rPr>
                <w:rFonts w:hint="eastAsia" w:ascii="宋体" w:hAnsi="宋体" w:eastAsia="宋体" w:cs="宋体"/>
                <w:kern w:val="0"/>
                <w:sz w:val="18"/>
                <w:szCs w:val="18"/>
              </w:rPr>
              <w:t>、报告和管理，及时督促医生订正诊断和传染病报告卡，有效加强定点医院、区县结防所等结核病防治机构间的信息沟通，改善定点医院患者的诊疗和追踪管理工作脱节现象，促进患者及时追踪到位，保障十四五重点指标的达标。</w:t>
            </w:r>
          </w:p>
        </w:tc>
        <w:tc>
          <w:tcPr>
            <w:tcW w:w="3327" w:type="dxa"/>
            <w:gridSpan w:val="6"/>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宋体" w:hAnsi="宋体" w:eastAsia="宋体" w:cs="宋体"/>
                <w:kern w:val="0"/>
                <w:sz w:val="18"/>
                <w:szCs w:val="18"/>
              </w:rPr>
            </w:pPr>
            <w:r>
              <w:rPr>
                <w:rFonts w:hint="eastAsia" w:ascii="宋体" w:hAnsi="宋体" w:eastAsia="宋体" w:cs="宋体"/>
                <w:kern w:val="0"/>
                <w:sz w:val="18"/>
                <w:szCs w:val="18"/>
                <w:lang w:eastAsia="zh-CN"/>
              </w:rPr>
              <w:t>已完成。</w:t>
            </w:r>
            <w:r>
              <w:rPr>
                <w:rFonts w:hint="eastAsia" w:ascii="宋体" w:hAnsi="宋体" w:eastAsia="宋体" w:cs="宋体"/>
                <w:kern w:val="0"/>
                <w:sz w:val="18"/>
                <w:szCs w:val="18"/>
              </w:rPr>
              <w:t>经北京市疾控中心统计，2023年北京胸科医院肺结核患者病原学阳性率为65.6%，超过国家指标≥50%的要求；新病原学阳性患者的耐药筛查率为98.4%，超过国家指标85%的要求；普通肺结核患者成功治疗率92.1%，超过国家指标90.0%的要求；耐药患者纳入治疗率为100.0%，超过国家指标80%的要求；高危人群耐药筛查率为95.7%，超过国家指标95%的要求。我院结核病专报系统各项指标的整体提升为北京市整体结核病专报系统达到国家指标要求做出突出的贡献。</w:t>
            </w:r>
          </w:p>
        </w:tc>
      </w:tr>
      <w:tr>
        <w:tblPrEx>
          <w:tblCellMar>
            <w:top w:w="0" w:type="dxa"/>
            <w:left w:w="108" w:type="dxa"/>
            <w:bottom w:w="0" w:type="dxa"/>
            <w:right w:w="108" w:type="dxa"/>
          </w:tblCellMar>
        </w:tblPrEx>
        <w:trPr>
          <w:trHeight w:val="517" w:hRule="exact"/>
          <w:jc w:val="center"/>
        </w:trPr>
        <w:tc>
          <w:tcPr>
            <w:tcW w:w="69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90分</w:t>
            </w:r>
            <w:r>
              <w:rPr>
                <w:rFonts w:hint="eastAsia" w:ascii="宋体" w:hAnsi="宋体" w:eastAsia="宋体" w:cs="宋体"/>
                <w:kern w:val="0"/>
                <w:sz w:val="18"/>
                <w:szCs w:val="18"/>
                <w:lang w:eastAsia="zh-CN"/>
              </w:rPr>
              <w:t>）</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二级指标</w:t>
            </w:r>
          </w:p>
        </w:tc>
        <w:tc>
          <w:tcPr>
            <w:tcW w:w="225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三级指标</w:t>
            </w:r>
          </w:p>
        </w:tc>
        <w:tc>
          <w:tcPr>
            <w:tcW w:w="71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指标值</w:t>
            </w: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分值</w:t>
            </w:r>
          </w:p>
        </w:tc>
        <w:tc>
          <w:tcPr>
            <w:tcW w:w="73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得分</w:t>
            </w:r>
          </w:p>
        </w:tc>
        <w:tc>
          <w:tcPr>
            <w:tcW w:w="121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741" w:hRule="exact"/>
          <w:jc w:val="center"/>
        </w:trPr>
        <w:tc>
          <w:tcPr>
            <w:tcW w:w="69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96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产出指标</w:t>
            </w:r>
          </w:p>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（66分）</w:t>
            </w:r>
          </w:p>
        </w:tc>
        <w:tc>
          <w:tcPr>
            <w:tcW w:w="109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数量指标</w:t>
            </w:r>
          </w:p>
          <w:p>
            <w:pPr>
              <w:widowControl/>
              <w:spacing w:line="240" w:lineRule="exact"/>
              <w:jc w:val="center"/>
              <w:rPr>
                <w:rFonts w:hint="eastAsia" w:ascii="宋体" w:hAnsi="宋体" w:eastAsia="宋体" w:cs="宋体"/>
                <w:kern w:val="0"/>
                <w:sz w:val="18"/>
                <w:szCs w:val="18"/>
              </w:rPr>
            </w:pPr>
          </w:p>
        </w:tc>
        <w:tc>
          <w:tcPr>
            <w:tcW w:w="2258" w:type="dxa"/>
            <w:gridSpan w:val="3"/>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开展结核病线上远程培训（培训人次）</w:t>
            </w:r>
          </w:p>
        </w:tc>
        <w:tc>
          <w:tcPr>
            <w:tcW w:w="7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sz w:val="18"/>
                <w:szCs w:val="18"/>
              </w:rPr>
              <w:t>10000</w:t>
            </w: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sz w:val="18"/>
                <w:szCs w:val="18"/>
              </w:rPr>
              <w:t>80000</w:t>
            </w: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sz w:val="18"/>
                <w:szCs w:val="18"/>
              </w:rPr>
              <w:t>8</w:t>
            </w:r>
          </w:p>
        </w:tc>
        <w:tc>
          <w:tcPr>
            <w:tcW w:w="73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8</w:t>
            </w:r>
          </w:p>
        </w:tc>
        <w:tc>
          <w:tcPr>
            <w:tcW w:w="121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22" w:hRule="exact"/>
          <w:jc w:val="center"/>
        </w:trPr>
        <w:tc>
          <w:tcPr>
            <w:tcW w:w="69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2258" w:type="dxa"/>
            <w:gridSpan w:val="3"/>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开展全国性线下结核病诊疗培训（次数）</w:t>
            </w:r>
          </w:p>
        </w:tc>
        <w:tc>
          <w:tcPr>
            <w:tcW w:w="71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w:t>
            </w:r>
          </w:p>
        </w:tc>
        <w:tc>
          <w:tcPr>
            <w:tcW w:w="81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w:t>
            </w: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8</w:t>
            </w:r>
          </w:p>
        </w:tc>
        <w:tc>
          <w:tcPr>
            <w:tcW w:w="73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7</w:t>
            </w:r>
          </w:p>
        </w:tc>
        <w:tc>
          <w:tcPr>
            <w:tcW w:w="121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按要求完成了1次全国性线下诊疗培训班，举办次数上还可以有所提升，根据医务人员需求适当增加培训次数。</w:t>
            </w:r>
          </w:p>
        </w:tc>
      </w:tr>
      <w:tr>
        <w:tblPrEx>
          <w:tblCellMar>
            <w:top w:w="0" w:type="dxa"/>
            <w:left w:w="108" w:type="dxa"/>
            <w:bottom w:w="0" w:type="dxa"/>
            <w:right w:w="108" w:type="dxa"/>
          </w:tblCellMar>
        </w:tblPrEx>
        <w:trPr>
          <w:trHeight w:val="681" w:hRule="exact"/>
          <w:jc w:val="center"/>
        </w:trPr>
        <w:tc>
          <w:tcPr>
            <w:tcW w:w="69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2258" w:type="dxa"/>
            <w:gridSpan w:val="3"/>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制定结核病技术文件（项）</w:t>
            </w:r>
          </w:p>
        </w:tc>
        <w:tc>
          <w:tcPr>
            <w:tcW w:w="71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81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8</w:t>
            </w:r>
          </w:p>
        </w:tc>
        <w:tc>
          <w:tcPr>
            <w:tcW w:w="73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8</w:t>
            </w:r>
          </w:p>
        </w:tc>
        <w:tc>
          <w:tcPr>
            <w:tcW w:w="121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696" w:hRule="exact"/>
          <w:jc w:val="center"/>
        </w:trPr>
        <w:tc>
          <w:tcPr>
            <w:tcW w:w="69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2258" w:type="dxa"/>
            <w:gridSpan w:val="3"/>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开展结核病定点医院实验室质量评估（单位数）</w:t>
            </w:r>
          </w:p>
        </w:tc>
        <w:tc>
          <w:tcPr>
            <w:tcW w:w="71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100</w:t>
            </w:r>
          </w:p>
        </w:tc>
        <w:tc>
          <w:tcPr>
            <w:tcW w:w="81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100</w:t>
            </w: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8</w:t>
            </w:r>
          </w:p>
        </w:tc>
        <w:tc>
          <w:tcPr>
            <w:tcW w:w="73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8</w:t>
            </w:r>
          </w:p>
        </w:tc>
        <w:tc>
          <w:tcPr>
            <w:tcW w:w="121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771" w:hRule="exact"/>
          <w:jc w:val="center"/>
        </w:trPr>
        <w:tc>
          <w:tcPr>
            <w:tcW w:w="69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2258" w:type="dxa"/>
            <w:gridSpan w:val="3"/>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eastAsia="宋体" w:cs="宋体"/>
                <w:kern w:val="2"/>
                <w:sz w:val="18"/>
                <w:szCs w:val="18"/>
                <w:lang w:val="en-US" w:eastAsia="zh-CN" w:bidi="ar-SA"/>
              </w:rPr>
            </w:pPr>
            <w:r>
              <w:rPr>
                <w:rFonts w:hint="eastAsia" w:ascii="宋体" w:hAnsi="宋体" w:eastAsia="宋体" w:cs="宋体"/>
                <w:sz w:val="18"/>
                <w:szCs w:val="18"/>
              </w:rPr>
              <w:t>组织开展结核病防治相关实施性研究（项）</w:t>
            </w:r>
          </w:p>
        </w:tc>
        <w:tc>
          <w:tcPr>
            <w:tcW w:w="71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w:t>
            </w:r>
          </w:p>
        </w:tc>
        <w:tc>
          <w:tcPr>
            <w:tcW w:w="81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w:t>
            </w: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8</w:t>
            </w:r>
          </w:p>
        </w:tc>
        <w:tc>
          <w:tcPr>
            <w:tcW w:w="73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8</w:t>
            </w:r>
          </w:p>
        </w:tc>
        <w:tc>
          <w:tcPr>
            <w:tcW w:w="121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107" w:hRule="exact"/>
          <w:jc w:val="center"/>
        </w:trPr>
        <w:tc>
          <w:tcPr>
            <w:tcW w:w="69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2258" w:type="dxa"/>
            <w:gridSpan w:val="3"/>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开展结核病诊疗质量现场评估（次数）</w:t>
            </w:r>
          </w:p>
        </w:tc>
        <w:tc>
          <w:tcPr>
            <w:tcW w:w="71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6</w:t>
            </w:r>
          </w:p>
        </w:tc>
        <w:tc>
          <w:tcPr>
            <w:tcW w:w="81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6</w:t>
            </w: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8</w:t>
            </w:r>
          </w:p>
        </w:tc>
        <w:tc>
          <w:tcPr>
            <w:tcW w:w="73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7</w:t>
            </w:r>
          </w:p>
        </w:tc>
        <w:tc>
          <w:tcPr>
            <w:tcW w:w="121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该指标按要求完成，实施过程中发现的问题及时给予反馈，但评估后的改进监测需要加强</w:t>
            </w:r>
          </w:p>
        </w:tc>
      </w:tr>
      <w:tr>
        <w:tblPrEx>
          <w:tblCellMar>
            <w:top w:w="0" w:type="dxa"/>
            <w:left w:w="108" w:type="dxa"/>
            <w:bottom w:w="0" w:type="dxa"/>
            <w:right w:w="108" w:type="dxa"/>
          </w:tblCellMar>
        </w:tblPrEx>
        <w:trPr>
          <w:trHeight w:val="651" w:hRule="exact"/>
          <w:jc w:val="center"/>
        </w:trPr>
        <w:tc>
          <w:tcPr>
            <w:tcW w:w="69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2258" w:type="dxa"/>
            <w:gridSpan w:val="3"/>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制定并印刷结核病健康促进材料（份）</w:t>
            </w:r>
          </w:p>
        </w:tc>
        <w:tc>
          <w:tcPr>
            <w:tcW w:w="71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2000</w:t>
            </w:r>
          </w:p>
        </w:tc>
        <w:tc>
          <w:tcPr>
            <w:tcW w:w="81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3000</w:t>
            </w: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7</w:t>
            </w:r>
          </w:p>
        </w:tc>
        <w:tc>
          <w:tcPr>
            <w:tcW w:w="73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7</w:t>
            </w:r>
          </w:p>
        </w:tc>
        <w:tc>
          <w:tcPr>
            <w:tcW w:w="121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0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时效指标</w:t>
            </w:r>
          </w:p>
        </w:tc>
        <w:tc>
          <w:tcPr>
            <w:tcW w:w="225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项目完成</w:t>
            </w:r>
          </w:p>
        </w:tc>
        <w:tc>
          <w:tcPr>
            <w:tcW w:w="71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w:t>
            </w: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w:t>
            </w: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73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121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0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eastAsia="zh-CN"/>
              </w:rPr>
              <w:t>成本</w:t>
            </w:r>
            <w:r>
              <w:rPr>
                <w:rFonts w:hint="eastAsia" w:ascii="宋体" w:hAnsi="宋体" w:eastAsia="宋体" w:cs="宋体"/>
                <w:kern w:val="0"/>
                <w:sz w:val="18"/>
                <w:szCs w:val="18"/>
              </w:rPr>
              <w:t>指标</w:t>
            </w:r>
          </w:p>
        </w:tc>
        <w:tc>
          <w:tcPr>
            <w:tcW w:w="225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不超过预算</w:t>
            </w:r>
          </w:p>
        </w:tc>
        <w:tc>
          <w:tcPr>
            <w:tcW w:w="71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173</w:t>
            </w: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173</w:t>
            </w: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w:t>
            </w:r>
          </w:p>
        </w:tc>
        <w:tc>
          <w:tcPr>
            <w:tcW w:w="73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w:t>
            </w:r>
          </w:p>
        </w:tc>
        <w:tc>
          <w:tcPr>
            <w:tcW w:w="121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96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效益指标</w:t>
            </w: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24分</w:t>
            </w:r>
            <w:r>
              <w:rPr>
                <w:rFonts w:hint="eastAsia" w:ascii="宋体" w:hAnsi="宋体" w:eastAsia="宋体" w:cs="宋体"/>
                <w:kern w:val="0"/>
                <w:sz w:val="18"/>
                <w:szCs w:val="18"/>
                <w:lang w:eastAsia="zh-CN"/>
              </w:rPr>
              <w:t>）</w:t>
            </w:r>
          </w:p>
          <w:p>
            <w:pPr>
              <w:widowControl/>
              <w:spacing w:line="240" w:lineRule="exact"/>
              <w:jc w:val="both"/>
              <w:rPr>
                <w:rFonts w:hint="eastAsia" w:ascii="宋体" w:hAnsi="宋体" w:eastAsia="宋体" w:cs="宋体"/>
                <w:kern w:val="0"/>
                <w:sz w:val="18"/>
                <w:szCs w:val="18"/>
                <w:lang w:val="en-US" w:eastAsia="zh-CN"/>
              </w:rPr>
            </w:pPr>
          </w:p>
        </w:tc>
        <w:tc>
          <w:tcPr>
            <w:tcW w:w="109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w:t>
            </w:r>
          </w:p>
        </w:tc>
        <w:tc>
          <w:tcPr>
            <w:tcW w:w="225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耐药患者纳入治疗率指标</w:t>
            </w:r>
          </w:p>
        </w:tc>
        <w:tc>
          <w:tcPr>
            <w:tcW w:w="7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≥75%</w:t>
            </w: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100%</w:t>
            </w: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6</w:t>
            </w:r>
          </w:p>
        </w:tc>
        <w:tc>
          <w:tcPr>
            <w:tcW w:w="73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6</w:t>
            </w:r>
          </w:p>
        </w:tc>
        <w:tc>
          <w:tcPr>
            <w:tcW w:w="121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225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肺结核患者病原学阳性率指标</w:t>
            </w:r>
          </w:p>
        </w:tc>
        <w:tc>
          <w:tcPr>
            <w:tcW w:w="7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≥50%</w:t>
            </w: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65.6%</w:t>
            </w: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6</w:t>
            </w:r>
          </w:p>
        </w:tc>
        <w:tc>
          <w:tcPr>
            <w:tcW w:w="73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6</w:t>
            </w:r>
          </w:p>
        </w:tc>
        <w:tc>
          <w:tcPr>
            <w:tcW w:w="121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225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新病原学阳性患者的耐药筛查率指标</w:t>
            </w:r>
          </w:p>
        </w:tc>
        <w:tc>
          <w:tcPr>
            <w:tcW w:w="7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≥80%</w:t>
            </w: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98.7%</w:t>
            </w: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6</w:t>
            </w:r>
          </w:p>
        </w:tc>
        <w:tc>
          <w:tcPr>
            <w:tcW w:w="73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6</w:t>
            </w:r>
          </w:p>
        </w:tc>
        <w:tc>
          <w:tcPr>
            <w:tcW w:w="121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606" w:hRule="exact"/>
          <w:jc w:val="center"/>
        </w:trPr>
        <w:tc>
          <w:tcPr>
            <w:tcW w:w="69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225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肺结核患者成功治疗率</w:t>
            </w:r>
          </w:p>
        </w:tc>
        <w:tc>
          <w:tcPr>
            <w:tcW w:w="7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≥90%</w:t>
            </w: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92.1%</w:t>
            </w: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6</w:t>
            </w:r>
          </w:p>
        </w:tc>
        <w:tc>
          <w:tcPr>
            <w:tcW w:w="73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6</w:t>
            </w:r>
          </w:p>
        </w:tc>
        <w:tc>
          <w:tcPr>
            <w:tcW w:w="121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533"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3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97.57</w:t>
            </w:r>
          </w:p>
        </w:tc>
        <w:tc>
          <w:tcPr>
            <w:tcW w:w="121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4OTYxMjk5OGJkODhiM2ZlNmViNTBkNjFjZmMzY2MifQ=="/>
  </w:docVars>
  <w:rsids>
    <w:rsidRoot w:val="28FF42C9"/>
    <w:rsid w:val="0167401F"/>
    <w:rsid w:val="13191F1C"/>
    <w:rsid w:val="13AB7646"/>
    <w:rsid w:val="1B466171"/>
    <w:rsid w:val="1C26752D"/>
    <w:rsid w:val="1C46568C"/>
    <w:rsid w:val="1F920135"/>
    <w:rsid w:val="22B0255D"/>
    <w:rsid w:val="28FF42C9"/>
    <w:rsid w:val="299926D9"/>
    <w:rsid w:val="2E505623"/>
    <w:rsid w:val="36626F3F"/>
    <w:rsid w:val="376932B2"/>
    <w:rsid w:val="37D3731B"/>
    <w:rsid w:val="38C17BE4"/>
    <w:rsid w:val="3A1362FF"/>
    <w:rsid w:val="41400026"/>
    <w:rsid w:val="44242F2B"/>
    <w:rsid w:val="4BF34BDE"/>
    <w:rsid w:val="4D4B1038"/>
    <w:rsid w:val="50B70139"/>
    <w:rsid w:val="53F34667"/>
    <w:rsid w:val="63872CC8"/>
    <w:rsid w:val="650C3C7A"/>
    <w:rsid w:val="6B7F00FA"/>
    <w:rsid w:val="6E7838C8"/>
    <w:rsid w:val="6FC867F3"/>
    <w:rsid w:val="73B53824"/>
    <w:rsid w:val="76682F7A"/>
    <w:rsid w:val="7C3B3A32"/>
    <w:rsid w:val="7DCB7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spacing w:before="50" w:beforeLines="50" w:beforeAutospacing="0" w:afterAutospacing="0"/>
      <w:ind w:firstLine="670" w:firstLineChars="200"/>
      <w:jc w:val="left"/>
      <w:outlineLvl w:val="0"/>
    </w:pPr>
    <w:rPr>
      <w:rFonts w:hint="eastAsia" w:ascii="Times New Roman" w:hAnsi="Times New Roman" w:eastAsia="黑体" w:cs="Times New Roman"/>
      <w:kern w:val="44"/>
      <w:sz w:val="32"/>
      <w:szCs w:val="32"/>
    </w:rPr>
  </w:style>
  <w:style w:type="paragraph" w:styleId="3">
    <w:name w:val="heading 2"/>
    <w:basedOn w:val="1"/>
    <w:next w:val="1"/>
    <w:autoRedefine/>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1059</Words>
  <Characters>1210</Characters>
  <Lines>0</Lines>
  <Paragraphs>0</Paragraphs>
  <TotalTime>0</TotalTime>
  <ScaleCrop>false</ScaleCrop>
  <LinksUpToDate>false</LinksUpToDate>
  <CharactersWithSpaces>1218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2024-04-16T02:39:00Z</dcterms:created>
  <dc:creator>csj</dc:creator>
  <cp:lastModifiedBy>.</cp:lastModifiedBy>
  <dcterms:modified xsi:type="dcterms:W3CDTF">2024-05-17T08:16:40Z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2462A5FBFBF64413AADC8C86F03F5ADE_13</vt:lpwstr>
  </property>
</Properties>
</file>