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p>
    <w:tbl>
      <w:tblPr>
        <w:tblStyle w:val="5"/>
        <w:tblW w:w="9041" w:type="dxa"/>
        <w:jc w:val="center"/>
        <w:tblLayout w:type="fixed"/>
        <w:tblCellMar>
          <w:top w:w="0" w:type="dxa"/>
          <w:left w:w="108" w:type="dxa"/>
          <w:bottom w:w="0" w:type="dxa"/>
          <w:right w:w="108" w:type="dxa"/>
        </w:tblCellMar>
      </w:tblPr>
      <w:tblGrid>
        <w:gridCol w:w="691"/>
        <w:gridCol w:w="963"/>
        <w:gridCol w:w="1092"/>
        <w:gridCol w:w="675"/>
        <w:gridCol w:w="1133"/>
        <w:gridCol w:w="170"/>
        <w:gridCol w:w="990"/>
        <w:gridCol w:w="819"/>
        <w:gridCol w:w="461"/>
        <w:gridCol w:w="96"/>
        <w:gridCol w:w="649"/>
        <w:gridCol w:w="669"/>
        <w:gridCol w:w="633"/>
      </w:tblGrid>
      <w:tr>
        <w:tblPrEx>
          <w:tblCellMar>
            <w:top w:w="0" w:type="dxa"/>
            <w:left w:w="108" w:type="dxa"/>
            <w:bottom w:w="0" w:type="dxa"/>
            <w:right w:w="108" w:type="dxa"/>
          </w:tblCellMar>
        </w:tblPrEx>
        <w:trPr>
          <w:trHeight w:val="659" w:hRule="exact"/>
          <w:jc w:val="center"/>
        </w:trPr>
        <w:tc>
          <w:tcPr>
            <w:tcW w:w="9041" w:type="dxa"/>
            <w:gridSpan w:val="13"/>
            <w:tcBorders>
              <w:top w:val="nil"/>
              <w:left w:val="nil"/>
              <w:bottom w:val="nil"/>
              <w:right w:val="nil"/>
            </w:tcBorders>
            <w:vAlign w:val="center"/>
          </w:tcPr>
          <w:p>
            <w:pPr>
              <w:spacing w:line="560" w:lineRule="exact"/>
              <w:rPr>
                <w:rFonts w:ascii="仿宋_GB2312" w:eastAsia="黑体"/>
                <w:sz w:val="32"/>
                <w:szCs w:val="32"/>
              </w:rPr>
            </w:pPr>
            <w:r>
              <w:rPr>
                <w:rFonts w:hint="eastAsia" w:ascii="黑体" w:hAnsi="黑体" w:eastAsia="黑体"/>
                <w:sz w:val="32"/>
                <w:szCs w:val="32"/>
              </w:rPr>
              <w:t>附件2</w:t>
            </w:r>
          </w:p>
          <w:p>
            <w:pPr>
              <w:widowControl/>
              <w:spacing w:line="320" w:lineRule="exact"/>
              <w:jc w:val="center"/>
              <w:rPr>
                <w:rFonts w:hint="eastAsia" w:ascii="宋体" w:hAnsi="宋体" w:cs="宋体"/>
                <w:b/>
                <w:bCs/>
                <w:kern w:val="0"/>
                <w:sz w:val="32"/>
                <w:szCs w:val="32"/>
              </w:rPr>
            </w:pPr>
          </w:p>
        </w:tc>
      </w:tr>
      <w:tr>
        <w:tblPrEx>
          <w:tblCellMar>
            <w:top w:w="0" w:type="dxa"/>
            <w:left w:w="108" w:type="dxa"/>
            <w:bottom w:w="0" w:type="dxa"/>
            <w:right w:w="108" w:type="dxa"/>
          </w:tblCellMar>
        </w:tblPrEx>
        <w:trPr>
          <w:trHeight w:val="440" w:hRule="exact"/>
          <w:jc w:val="center"/>
        </w:trPr>
        <w:tc>
          <w:tcPr>
            <w:tcW w:w="9041" w:type="dxa"/>
            <w:gridSpan w:val="13"/>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041" w:type="dxa"/>
            <w:gridSpan w:val="13"/>
            <w:tcBorders>
              <w:top w:val="nil"/>
              <w:left w:val="nil"/>
              <w:bottom w:val="single" w:color="auto" w:sz="4" w:space="0"/>
              <w:right w:val="nil"/>
            </w:tcBorders>
          </w:tcPr>
          <w:p>
            <w:pPr>
              <w:widowControl/>
              <w:jc w:val="center"/>
              <w:rPr>
                <w:rFonts w:ascii="宋体" w:hAnsi="宋体" w:cs="宋体"/>
                <w:kern w:val="0"/>
                <w:sz w:val="22"/>
              </w:rPr>
            </w:pPr>
            <w:r>
              <w:rPr>
                <w:rFonts w:hint="eastAsia" w:ascii="宋体" w:hAnsi="宋体" w:cs="宋体"/>
                <w:kern w:val="0"/>
                <w:sz w:val="22"/>
              </w:rPr>
              <w:t>（2023年度）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387"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老年医院医用设备购置</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060"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rPr>
              <w:t>北京市医院管理</w:t>
            </w:r>
            <w:r>
              <w:rPr>
                <w:rFonts w:hint="eastAsia" w:ascii="宋体" w:hAnsi="宋体" w:cs="宋体"/>
                <w:kern w:val="0"/>
                <w:sz w:val="18"/>
                <w:szCs w:val="18"/>
                <w:lang w:val="en-US" w:eastAsia="zh-CN"/>
              </w:rPr>
              <w:t>中心</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047"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北京老年医院</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060"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贾炳泉</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047"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13910514129</w:t>
            </w:r>
          </w:p>
        </w:tc>
      </w:tr>
      <w:tr>
        <w:tblPrEx>
          <w:tblCellMar>
            <w:top w:w="0" w:type="dxa"/>
            <w:left w:w="108" w:type="dxa"/>
            <w:bottom w:w="0" w:type="dxa"/>
            <w:right w:w="108" w:type="dxa"/>
          </w:tblCellMar>
        </w:tblPrEx>
        <w:trPr>
          <w:trHeight w:val="64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7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4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6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6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47"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1588.33</w:t>
            </w:r>
          </w:p>
        </w:tc>
        <w:tc>
          <w:tcPr>
            <w:tcW w:w="11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1335.475</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1335.475</w:t>
            </w:r>
          </w:p>
        </w:tc>
        <w:tc>
          <w:tcPr>
            <w:tcW w:w="74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100</w:t>
            </w:r>
            <w:r>
              <w:rPr>
                <w:rFonts w:ascii="宋体" w:hAnsi="宋体" w:cs="宋体"/>
                <w:kern w:val="0"/>
                <w:sz w:val="18"/>
                <w:szCs w:val="18"/>
              </w:rPr>
              <w:t>%</w:t>
            </w:r>
          </w:p>
        </w:tc>
        <w:tc>
          <w:tcPr>
            <w:tcW w:w="6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1588.33</w:t>
            </w:r>
          </w:p>
        </w:tc>
        <w:tc>
          <w:tcPr>
            <w:tcW w:w="11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1335.475</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1335.475</w:t>
            </w:r>
          </w:p>
        </w:tc>
        <w:tc>
          <w:tcPr>
            <w:tcW w:w="74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6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8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4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6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8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4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6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23"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32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929"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23"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通过新增60台医用设备，提高医院的服务水平，上述设备购置后可提高医院老年病相关各学科的发展，更好地为老年患者提供高水平的医疗服务，同时作为海淀温泉地区的唯一一所三级医院为本地区常驻居民提供优质服务。建立和发展具有老年医疗特色、现代化高水平的区域综合医疗中心,对于医院振兴心脏内科及康复治疗康复，发展急诊的战略方针，满足周边居民需求提供帮助。减少门急诊及住院病人的预约等候时间</w:t>
            </w:r>
          </w:p>
        </w:tc>
        <w:tc>
          <w:tcPr>
            <w:tcW w:w="332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通过新增60台医用设备，提高医院的服务水平，提高医院老年病相关各学科的发展，更好地为老年患者提供高水平的医疗服务，减少门急诊及住院病人的预约等候时间。2023年医院检查与治疗人次同比双提升。</w:t>
            </w:r>
          </w:p>
        </w:tc>
      </w:tr>
      <w:tr>
        <w:tblPrEx>
          <w:tblCellMar>
            <w:top w:w="0" w:type="dxa"/>
            <w:left w:w="108" w:type="dxa"/>
            <w:bottom w:w="0" w:type="dxa"/>
            <w:right w:w="108" w:type="dxa"/>
          </w:tblCellMar>
        </w:tblPrEx>
        <w:trPr>
          <w:trHeight w:val="517" w:hRule="exact"/>
          <w:jc w:val="center"/>
        </w:trPr>
        <w:tc>
          <w:tcPr>
            <w:tcW w:w="69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（90分）</w:t>
            </w:r>
          </w:p>
        </w:tc>
        <w:tc>
          <w:tcPr>
            <w:tcW w:w="96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50分</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购置检查设备</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51台</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51台</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购置治疗设备</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9台</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9台</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206"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检查治疗设备质量</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满足招标文件要求，符合出厂说明书要求</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全部满足</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86"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设备验收合格率</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验收合格率100%</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验收合格率100%</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1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完成方案制定和前期准备工作</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2023年4月底前</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2023年4月</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31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完成招标工作和合同签订</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2023年6月底前</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2023年12月</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由于进口产品申报和审批较晚，使得各项执行步骤晚于计划</w:t>
            </w:r>
          </w:p>
        </w:tc>
      </w:tr>
      <w:tr>
        <w:tblPrEx>
          <w:tblCellMar>
            <w:top w:w="0" w:type="dxa"/>
            <w:left w:w="108" w:type="dxa"/>
            <w:bottom w:w="0" w:type="dxa"/>
            <w:right w:w="108" w:type="dxa"/>
          </w:tblCellMar>
        </w:tblPrEx>
        <w:trPr>
          <w:trHeight w:val="1464"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设备完成安装调试</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2023年10月底前</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2024年1月前</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由于进口产品申报和审批较晚，使得各项执行步骤晚于计划</w:t>
            </w:r>
          </w:p>
        </w:tc>
      </w:tr>
      <w:tr>
        <w:tblPrEx>
          <w:tblCellMar>
            <w:top w:w="0" w:type="dxa"/>
            <w:left w:w="108" w:type="dxa"/>
            <w:bottom w:w="0" w:type="dxa"/>
            <w:right w:w="108" w:type="dxa"/>
          </w:tblCellMar>
        </w:tblPrEx>
        <w:trPr>
          <w:trHeight w:val="1545"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完成验收</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2023年11月底前</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2024年4月</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由于进口产品申报和审批较晚，使得各项执行步骤晚于计划</w:t>
            </w:r>
          </w:p>
        </w:tc>
      </w:tr>
      <w:tr>
        <w:tblPrEx>
          <w:tblCellMar>
            <w:top w:w="0" w:type="dxa"/>
            <w:left w:w="108" w:type="dxa"/>
            <w:bottom w:w="0" w:type="dxa"/>
            <w:right w:w="108" w:type="dxa"/>
          </w:tblCellMar>
        </w:tblPrEx>
        <w:trPr>
          <w:trHeight w:val="1396"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项目通过满意度调查</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 xml:space="preserve">2023年12月底  </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 xml:space="preserve">2024年5月底  </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由于进口产品申报和审批较晚，使得各项执行步骤晚于计划</w:t>
            </w:r>
          </w:p>
        </w:tc>
      </w:tr>
      <w:tr>
        <w:tblPrEx>
          <w:tblCellMar>
            <w:top w:w="0" w:type="dxa"/>
            <w:left w:w="108" w:type="dxa"/>
            <w:bottom w:w="0" w:type="dxa"/>
            <w:right w:w="108" w:type="dxa"/>
          </w:tblCellMar>
        </w:tblPrEx>
        <w:trPr>
          <w:trHeight w:val="53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上年尾款成本控制</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193.28万元</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193.28万元</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144"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总成本控制</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1395.05万元</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1142.195</w:t>
            </w:r>
            <w:r>
              <w:rPr>
                <w:rFonts w:hint="eastAsia" w:ascii="宋体" w:hAnsi="宋体" w:cs="宋体"/>
                <w:kern w:val="0"/>
                <w:sz w:val="18"/>
                <w:szCs w:val="18"/>
              </w:rPr>
              <w:t>万元</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部分设备调研不够充分，结余资金252.855万元</w:t>
            </w:r>
          </w:p>
        </w:tc>
      </w:tr>
      <w:tr>
        <w:tblPrEx>
          <w:tblCellMar>
            <w:top w:w="0" w:type="dxa"/>
            <w:left w:w="108" w:type="dxa"/>
            <w:bottom w:w="0" w:type="dxa"/>
            <w:right w:w="108" w:type="dxa"/>
          </w:tblCellMar>
        </w:tblPrEx>
        <w:trPr>
          <w:trHeight w:val="1846"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30分</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诊断患者</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每台平均不少于8千人次/年，设备诊断阳性率≥50%</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每台平均约8100人次/年，诊断阳性率约70%</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07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治疗患者</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每台平均不少于1千例次/年</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每台平均约于1100例次/年</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46"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设备使用效益</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设备利用率达到90%以上</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利用率100%</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176"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利用设备提供社会服务</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为患者提供更好的服务，精准的治疗方案</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已完成</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46"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设备相关污染耗材的有效处理率</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处理率达100%</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处理率100%</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可持续影响</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8年</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8年</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10分</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医师满意度</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7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患者满意度</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91%</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533"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90</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4OTYxMjk5OGJkODhiM2ZlNmViNTBkNjFjZmMzY2MifQ=="/>
  </w:docVars>
  <w:rsids>
    <w:rsidRoot w:val="28FF42C9"/>
    <w:rsid w:val="00497BD6"/>
    <w:rsid w:val="0089561B"/>
    <w:rsid w:val="00955843"/>
    <w:rsid w:val="00BA6453"/>
    <w:rsid w:val="00EE4EE5"/>
    <w:rsid w:val="00F64946"/>
    <w:rsid w:val="0167401F"/>
    <w:rsid w:val="05CA7233"/>
    <w:rsid w:val="17826121"/>
    <w:rsid w:val="1C46568C"/>
    <w:rsid w:val="24B05F67"/>
    <w:rsid w:val="271B6BAB"/>
    <w:rsid w:val="28FF42C9"/>
    <w:rsid w:val="63740920"/>
    <w:rsid w:val="63872CC8"/>
    <w:rsid w:val="6E7838C8"/>
    <w:rsid w:val="6EBA5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50" w:beforeLines="50"/>
      <w:ind w:firstLine="670" w:firstLineChars="200"/>
      <w:jc w:val="left"/>
      <w:outlineLvl w:val="0"/>
    </w:pPr>
    <w:rPr>
      <w:rFonts w:hint="eastAsia" w:eastAsia="黑体"/>
      <w:kern w:val="44"/>
      <w:sz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4">
    <w:name w:val="Normal (Web)"/>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1068</Words>
  <Characters>1229</Characters>
  <Lines>10</Lines>
  <Paragraphs>3</Paragraphs>
  <TotalTime>1</TotalTime>
  <ScaleCrop>false</ScaleCrop>
  <LinksUpToDate>false</LinksUpToDate>
  <CharactersWithSpaces>1241</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cp:lastModifiedBy>
  <dcterms:modified xsi:type="dcterms:W3CDTF">2024-05-15T02:40:45Z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B30A5594E8FA44DFAFE0AADE3D64150C_13</vt:lpwstr>
  </property>
</Properties>
</file>