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041" w:type="dxa"/>
        <w:jc w:val="center"/>
        <w:tblLayout w:type="fixed"/>
        <w:tblCellMar>
          <w:top w:w="0" w:type="dxa"/>
          <w:left w:w="108" w:type="dxa"/>
          <w:bottom w:w="0" w:type="dxa"/>
          <w:right w:w="108" w:type="dxa"/>
        </w:tblCellMar>
      </w:tblPr>
      <w:tblGrid>
        <w:gridCol w:w="691"/>
        <w:gridCol w:w="963"/>
        <w:gridCol w:w="1034"/>
        <w:gridCol w:w="733"/>
        <w:gridCol w:w="1040"/>
        <w:gridCol w:w="93"/>
        <w:gridCol w:w="1171"/>
        <w:gridCol w:w="951"/>
        <w:gridCol w:w="318"/>
        <w:gridCol w:w="264"/>
        <w:gridCol w:w="498"/>
        <w:gridCol w:w="652"/>
        <w:gridCol w:w="633"/>
      </w:tblGrid>
      <w:tr>
        <w:tblPrEx>
          <w:tblCellMar>
            <w:top w:w="0" w:type="dxa"/>
            <w:left w:w="108" w:type="dxa"/>
            <w:bottom w:w="0" w:type="dxa"/>
            <w:right w:w="108" w:type="dxa"/>
          </w:tblCellMar>
        </w:tblPrEx>
        <w:trPr>
          <w:trHeight w:val="440" w:hRule="exact"/>
          <w:jc w:val="center"/>
        </w:trPr>
        <w:tc>
          <w:tcPr>
            <w:tcW w:w="9041"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highlight w:val="none"/>
              </w:rPr>
            </w:pPr>
            <w:r>
              <w:rPr>
                <w:rFonts w:hint="eastAsia" w:ascii="宋体" w:hAnsi="宋体" w:cs="宋体"/>
                <w:b/>
                <w:bCs/>
                <w:kern w:val="0"/>
                <w:sz w:val="32"/>
                <w:szCs w:val="32"/>
                <w:highlight w:val="none"/>
              </w:rPr>
              <w:t>项目支出绩效自评表</w:t>
            </w:r>
          </w:p>
        </w:tc>
      </w:tr>
      <w:tr>
        <w:tblPrEx>
          <w:tblCellMar>
            <w:top w:w="0" w:type="dxa"/>
            <w:left w:w="108" w:type="dxa"/>
            <w:bottom w:w="0" w:type="dxa"/>
            <w:right w:w="108" w:type="dxa"/>
          </w:tblCellMar>
        </w:tblPrEx>
        <w:trPr>
          <w:trHeight w:val="194" w:hRule="atLeast"/>
          <w:jc w:val="center"/>
        </w:trPr>
        <w:tc>
          <w:tcPr>
            <w:tcW w:w="9041" w:type="dxa"/>
            <w:gridSpan w:val="13"/>
            <w:tcBorders>
              <w:top w:val="nil"/>
              <w:left w:val="nil"/>
              <w:bottom w:val="nil"/>
              <w:right w:val="nil"/>
            </w:tcBorders>
          </w:tcPr>
          <w:p>
            <w:pPr>
              <w:widowControl/>
              <w:jc w:val="center"/>
              <w:rPr>
                <w:rFonts w:ascii="宋体" w:hAnsi="宋体" w:cs="宋体"/>
                <w:kern w:val="0"/>
                <w:sz w:val="22"/>
                <w:highlight w:val="none"/>
              </w:rPr>
            </w:pPr>
            <w:r>
              <w:rPr>
                <w:rFonts w:hint="eastAsia" w:ascii="宋体" w:hAnsi="宋体" w:cs="宋体"/>
                <w:kern w:val="0"/>
                <w:sz w:val="22"/>
                <w:highlight w:val="none"/>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项目名称</w:t>
            </w:r>
          </w:p>
        </w:tc>
        <w:tc>
          <w:tcPr>
            <w:tcW w:w="7387"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肿瘤医院中央转移支付重大传染病防控</w:t>
            </w:r>
          </w:p>
        </w:tc>
      </w:tr>
      <w:tr>
        <w:tblPrEx>
          <w:tblCellMar>
            <w:top w:w="0" w:type="dxa"/>
            <w:left w:w="108" w:type="dxa"/>
            <w:bottom w:w="0" w:type="dxa"/>
            <w:right w:w="108" w:type="dxa"/>
          </w:tblCellMar>
        </w:tblPrEx>
        <w:trPr>
          <w:trHeight w:val="812"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主管部门</w:t>
            </w:r>
          </w:p>
        </w:tc>
        <w:tc>
          <w:tcPr>
            <w:tcW w:w="40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北京市医院管理中心</w:t>
            </w: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实施单位</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北京</w:t>
            </w:r>
            <w:r>
              <w:rPr>
                <w:rFonts w:ascii="宋体" w:hAnsi="宋体" w:cs="宋体"/>
                <w:kern w:val="0"/>
                <w:sz w:val="18"/>
                <w:szCs w:val="18"/>
                <w:highlight w:val="none"/>
              </w:rPr>
              <w:t>大学肿瘤医院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项目</w:t>
            </w:r>
            <w:r>
              <w:rPr>
                <w:rFonts w:ascii="宋体" w:hAnsi="宋体" w:cs="宋体"/>
                <w:kern w:val="0"/>
                <w:sz w:val="18"/>
                <w:szCs w:val="18"/>
                <w:highlight w:val="none"/>
              </w:rPr>
              <w:t>负责人</w:t>
            </w:r>
          </w:p>
        </w:tc>
        <w:tc>
          <w:tcPr>
            <w:tcW w:w="40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王宁</w:t>
            </w: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ascii="宋体" w:hAnsi="宋体" w:cs="宋体"/>
                <w:kern w:val="0"/>
                <w:sz w:val="18"/>
                <w:szCs w:val="18"/>
                <w:highlight w:val="none"/>
              </w:rPr>
              <w:t>联系电话</w:t>
            </w:r>
          </w:p>
        </w:tc>
        <w:tc>
          <w:tcPr>
            <w:tcW w:w="2047"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88196725</w:t>
            </w:r>
          </w:p>
        </w:tc>
      </w:tr>
      <w:tr>
        <w:tblPrEx>
          <w:tblCellMar>
            <w:top w:w="0" w:type="dxa"/>
            <w:left w:w="108" w:type="dxa"/>
            <w:bottom w:w="0" w:type="dxa"/>
            <w:right w:w="108" w:type="dxa"/>
          </w:tblCellMar>
        </w:tblPrEx>
        <w:trPr>
          <w:trHeight w:val="620"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项目资金</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（万元）</w:t>
            </w: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13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年初预算数</w:t>
            </w:r>
          </w:p>
        </w:tc>
        <w:tc>
          <w:tcPr>
            <w:tcW w:w="11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全年预算数</w:t>
            </w: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全年执行数</w:t>
            </w:r>
          </w:p>
        </w:tc>
        <w:tc>
          <w:tcPr>
            <w:tcW w:w="7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分值</w:t>
            </w:r>
          </w:p>
        </w:tc>
        <w:tc>
          <w:tcPr>
            <w:tcW w:w="6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执行率</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年度资金总额</w:t>
            </w:r>
          </w:p>
        </w:tc>
        <w:tc>
          <w:tcPr>
            <w:tcW w:w="113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133</w:t>
            </w:r>
          </w:p>
        </w:tc>
        <w:tc>
          <w:tcPr>
            <w:tcW w:w="11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133</w:t>
            </w: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133</w:t>
            </w:r>
          </w:p>
        </w:tc>
        <w:tc>
          <w:tcPr>
            <w:tcW w:w="7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10</w:t>
            </w:r>
          </w:p>
        </w:tc>
        <w:tc>
          <w:tcPr>
            <w:tcW w:w="6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100</w:t>
            </w:r>
            <w:r>
              <w:rPr>
                <w:rFonts w:ascii="宋体" w:hAnsi="宋体" w:cs="宋体"/>
                <w:kern w:val="0"/>
                <w:sz w:val="18"/>
                <w:szCs w:val="18"/>
                <w:highlight w:val="none"/>
              </w:rPr>
              <w:t>%</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10</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其中：当年财政拨款</w:t>
            </w:r>
          </w:p>
        </w:tc>
        <w:tc>
          <w:tcPr>
            <w:tcW w:w="113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133</w:t>
            </w:r>
          </w:p>
        </w:tc>
        <w:tc>
          <w:tcPr>
            <w:tcW w:w="11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133</w:t>
            </w: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133</w:t>
            </w:r>
          </w:p>
        </w:tc>
        <w:tc>
          <w:tcPr>
            <w:tcW w:w="7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w:t>
            </w:r>
          </w:p>
        </w:tc>
        <w:tc>
          <w:tcPr>
            <w:tcW w:w="6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100</w:t>
            </w:r>
            <w:r>
              <w:rPr>
                <w:rFonts w:ascii="宋体" w:hAnsi="宋体" w:cs="宋体"/>
                <w:kern w:val="0"/>
                <w:sz w:val="18"/>
                <w:szCs w:val="18"/>
                <w:highlight w:val="none"/>
              </w:rPr>
              <w:t>%</w:t>
            </w: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 xml:space="preserve">      上年结转资金</w:t>
            </w:r>
          </w:p>
        </w:tc>
        <w:tc>
          <w:tcPr>
            <w:tcW w:w="113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1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7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w:t>
            </w:r>
          </w:p>
        </w:tc>
        <w:tc>
          <w:tcPr>
            <w:tcW w:w="6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 xml:space="preserve">  其他资金</w:t>
            </w:r>
          </w:p>
        </w:tc>
        <w:tc>
          <w:tcPr>
            <w:tcW w:w="1133"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1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126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7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w:t>
            </w:r>
          </w:p>
        </w:tc>
        <w:tc>
          <w:tcPr>
            <w:tcW w:w="65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63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年度总体目标</w:t>
            </w:r>
          </w:p>
        </w:tc>
        <w:tc>
          <w:tcPr>
            <w:tcW w:w="503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预期目标</w:t>
            </w:r>
          </w:p>
        </w:tc>
        <w:tc>
          <w:tcPr>
            <w:tcW w:w="331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实际完成情况</w:t>
            </w:r>
          </w:p>
        </w:tc>
      </w:tr>
      <w:tr>
        <w:tblPrEx>
          <w:tblCellMar>
            <w:top w:w="0" w:type="dxa"/>
            <w:left w:w="108" w:type="dxa"/>
            <w:bottom w:w="0" w:type="dxa"/>
            <w:right w:w="108" w:type="dxa"/>
          </w:tblCellMar>
        </w:tblPrEx>
        <w:trPr>
          <w:trHeight w:val="3056"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p>
        </w:tc>
        <w:tc>
          <w:tcPr>
            <w:tcW w:w="5034"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highlight w:val="none"/>
              </w:rPr>
            </w:pPr>
            <w:r>
              <w:rPr>
                <w:rFonts w:hint="eastAsia" w:ascii="宋体" w:hAnsi="宋体" w:cs="宋体"/>
                <w:kern w:val="0"/>
                <w:sz w:val="18"/>
                <w:szCs w:val="18"/>
                <w:highlight w:val="none"/>
              </w:rPr>
              <w:t>（1）收集14万肿瘤就诊病例资料；（2）数据整理后病理组织学诊断的比例（除外肝癌和白血病）达到66%；（3）死亡/发病的比例符合国家标准&gt;0.50；（4）未指明部位及原发部位不明（继发）的恶性肿瘤病例所占的比例&lt;5%；（5）完成至少3万例肿瘤患者的社区随访；（6）整理后本市肿瘤患者社区随访失访率&lt;10%。</w:t>
            </w:r>
          </w:p>
        </w:tc>
        <w:tc>
          <w:tcPr>
            <w:tcW w:w="331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highlight w:val="none"/>
              </w:rPr>
            </w:pPr>
            <w:r>
              <w:rPr>
                <w:rFonts w:hint="eastAsia" w:ascii="宋体" w:hAnsi="宋体" w:cs="宋体"/>
                <w:kern w:val="0"/>
                <w:sz w:val="18"/>
                <w:szCs w:val="18"/>
                <w:highlight w:val="none"/>
              </w:rPr>
              <w:t>1)全年收集92.48万人次肿瘤就诊病例资料，其中主要诊断为肿瘤的病例23.7466万人次；2)数据整理后病理组织学诊断的比例（除外肝癌和白血病）78.38%；3)整理后死亡/发病的比例为0.56；4)未指明部位及原发部位不明（继发）的恶性肿瘤病例所占的比例为1.64%；5) 共计随访2017-2020年确诊的肿瘤患者共计86601例，其中社区主动随访患者30247例；6)整理后本市肿瘤患者社区随访失访率2.90%。</w:t>
            </w:r>
          </w:p>
        </w:tc>
      </w:tr>
      <w:tr>
        <w:tblPrEx>
          <w:tblCellMar>
            <w:top w:w="0" w:type="dxa"/>
            <w:left w:w="108" w:type="dxa"/>
            <w:bottom w:w="0" w:type="dxa"/>
            <w:right w:w="108" w:type="dxa"/>
          </w:tblCellMar>
        </w:tblPrEx>
        <w:trPr>
          <w:trHeight w:val="517"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绩</w:t>
            </w:r>
            <w:r>
              <w:rPr>
                <w:rFonts w:hint="eastAsia" w:asciiTheme="majorEastAsia" w:hAnsiTheme="majorEastAsia" w:eastAsiaTheme="majorEastAsia" w:cstheme="majorEastAsia"/>
                <w:kern w:val="0"/>
                <w:sz w:val="18"/>
                <w:szCs w:val="18"/>
                <w:highlight w:val="none"/>
              </w:rPr>
              <w:br w:type="textWrapping"/>
            </w:r>
            <w:r>
              <w:rPr>
                <w:rFonts w:hint="eastAsia" w:asciiTheme="majorEastAsia" w:hAnsiTheme="majorEastAsia" w:eastAsiaTheme="majorEastAsia" w:cstheme="majorEastAsia"/>
                <w:kern w:val="0"/>
                <w:sz w:val="18"/>
                <w:szCs w:val="18"/>
                <w:highlight w:val="none"/>
              </w:rPr>
              <w:t>效</w:t>
            </w:r>
            <w:r>
              <w:rPr>
                <w:rFonts w:hint="eastAsia" w:asciiTheme="majorEastAsia" w:hAnsiTheme="majorEastAsia" w:eastAsiaTheme="majorEastAsia" w:cstheme="majorEastAsia"/>
                <w:kern w:val="0"/>
                <w:sz w:val="18"/>
                <w:szCs w:val="18"/>
                <w:highlight w:val="none"/>
              </w:rPr>
              <w:br w:type="textWrapping"/>
            </w:r>
            <w:r>
              <w:rPr>
                <w:rFonts w:hint="eastAsia" w:asciiTheme="majorEastAsia" w:hAnsiTheme="majorEastAsia" w:eastAsiaTheme="majorEastAsia" w:cstheme="majorEastAsia"/>
                <w:kern w:val="0"/>
                <w:sz w:val="18"/>
                <w:szCs w:val="18"/>
                <w:highlight w:val="none"/>
              </w:rPr>
              <w:t>指</w:t>
            </w:r>
            <w:r>
              <w:rPr>
                <w:rFonts w:hint="eastAsia" w:asciiTheme="majorEastAsia" w:hAnsiTheme="majorEastAsia" w:eastAsiaTheme="majorEastAsia" w:cstheme="majorEastAsia"/>
                <w:kern w:val="0"/>
                <w:sz w:val="18"/>
                <w:szCs w:val="18"/>
                <w:highlight w:val="none"/>
              </w:rPr>
              <w:br w:type="textWrapping"/>
            </w:r>
            <w:r>
              <w:rPr>
                <w:rFonts w:hint="eastAsia" w:asciiTheme="majorEastAsia" w:hAnsiTheme="majorEastAsia" w:eastAsiaTheme="majorEastAsia" w:cstheme="majorEastAsia"/>
                <w:kern w:val="0"/>
                <w:sz w:val="18"/>
                <w:szCs w:val="18"/>
                <w:highlight w:val="none"/>
              </w:rPr>
              <w:t>标</w:t>
            </w:r>
          </w:p>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一级指标</w:t>
            </w: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二级指标</w:t>
            </w:r>
          </w:p>
        </w:tc>
        <w:tc>
          <w:tcPr>
            <w:tcW w:w="17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三级指标</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年度</w:t>
            </w:r>
          </w:p>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指标值</w:t>
            </w:r>
          </w:p>
        </w:tc>
        <w:tc>
          <w:tcPr>
            <w:tcW w:w="95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实际</w:t>
            </w:r>
          </w:p>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完成值</w:t>
            </w:r>
          </w:p>
        </w:tc>
        <w:tc>
          <w:tcPr>
            <w:tcW w:w="58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分值</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得分</w:t>
            </w:r>
          </w:p>
        </w:tc>
        <w:tc>
          <w:tcPr>
            <w:tcW w:w="12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产出指标</w:t>
            </w: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数量指标</w:t>
            </w:r>
          </w:p>
        </w:tc>
        <w:tc>
          <w:tcPr>
            <w:tcW w:w="17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指标1：随访患者</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sz w:val="18"/>
                <w:szCs w:val="18"/>
                <w:highlight w:val="none"/>
              </w:rPr>
              <w:t>≥30000</w:t>
            </w:r>
          </w:p>
        </w:tc>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sz w:val="18"/>
                <w:szCs w:val="18"/>
                <w:highlight w:val="none"/>
              </w:rPr>
              <w:t>30247</w:t>
            </w:r>
          </w:p>
        </w:tc>
        <w:tc>
          <w:tcPr>
            <w:tcW w:w="58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bookmarkStart w:id="0" w:name="_GoBack"/>
            <w:bookmarkEnd w:id="0"/>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4250"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7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指标2：收集肿瘤病例数量</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≥140000</w:t>
            </w:r>
          </w:p>
        </w:tc>
        <w:tc>
          <w:tcPr>
            <w:tcW w:w="951" w:type="dxa"/>
            <w:tcBorders>
              <w:top w:val="single" w:color="auto" w:sz="4" w:space="0"/>
              <w:left w:val="single" w:color="auto" w:sz="4" w:space="0"/>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237466</w:t>
            </w:r>
          </w:p>
        </w:tc>
        <w:tc>
          <w:tcPr>
            <w:tcW w:w="58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1）由于北京市医疗资源较为丰富，为了提高数据完整性，增加了外地就诊患者收集，导致实际完成值较高；2）为了提高数据准确性，目前协调了多渠道收集患者复诊信息增补初诊变量，导致实际完成值较高。</w:t>
            </w:r>
          </w:p>
        </w:tc>
      </w:tr>
      <w:tr>
        <w:tblPrEx>
          <w:tblCellMar>
            <w:top w:w="0" w:type="dxa"/>
            <w:left w:w="108" w:type="dxa"/>
            <w:bottom w:w="0" w:type="dxa"/>
            <w:right w:w="108" w:type="dxa"/>
          </w:tblCellMar>
        </w:tblPrEx>
        <w:trPr>
          <w:trHeight w:val="3290"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77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指标3：预计补充死亡病例</w:t>
            </w:r>
          </w:p>
        </w:tc>
        <w:tc>
          <w:tcPr>
            <w:tcW w:w="126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≥15000</w:t>
            </w:r>
          </w:p>
        </w:tc>
        <w:tc>
          <w:tcPr>
            <w:tcW w:w="951" w:type="dxa"/>
            <w:tcBorders>
              <w:top w:val="single" w:color="auto" w:sz="4" w:space="0"/>
              <w:left w:val="single" w:color="auto" w:sz="4" w:space="0"/>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28787</w:t>
            </w:r>
          </w:p>
        </w:tc>
        <w:tc>
          <w:tcPr>
            <w:tcW w:w="58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1）该数据收集的为2022年登记死亡的病例，由于疫情影响死亡人数有所增加；2）为了补充漏报，增收其他死因也是肿瘤的患者，因此导致实际完成值较高</w:t>
            </w:r>
          </w:p>
        </w:tc>
      </w:tr>
      <w:tr>
        <w:tblPrEx>
          <w:tblCellMar>
            <w:top w:w="0" w:type="dxa"/>
            <w:left w:w="108" w:type="dxa"/>
            <w:bottom w:w="0" w:type="dxa"/>
            <w:right w:w="108" w:type="dxa"/>
          </w:tblCellMar>
        </w:tblPrEx>
        <w:trPr>
          <w:trHeight w:val="951" w:hRule="exact"/>
          <w:jc w:val="center"/>
        </w:trPr>
        <w:tc>
          <w:tcPr>
            <w:tcW w:w="691"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指标4：肿瘤随访登记项目覆盖的县区数量</w:t>
            </w:r>
          </w:p>
        </w:tc>
        <w:tc>
          <w:tcPr>
            <w:tcW w:w="1264" w:type="dxa"/>
            <w:gridSpan w:val="2"/>
            <w:tcBorders>
              <w:top w:val="single" w:color="auto" w:sz="4" w:space="0"/>
              <w:left w:val="nil"/>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等于16</w:t>
            </w:r>
          </w:p>
        </w:tc>
        <w:tc>
          <w:tcPr>
            <w:tcW w:w="951" w:type="dxa"/>
            <w:tcBorders>
              <w:top w:val="single" w:color="auto" w:sz="4" w:space="0"/>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16</w:t>
            </w:r>
          </w:p>
        </w:tc>
        <w:tc>
          <w:tcPr>
            <w:tcW w:w="5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780"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质量指标</w:t>
            </w: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指标1：随访患者失访率</w:t>
            </w:r>
          </w:p>
        </w:tc>
        <w:tc>
          <w:tcPr>
            <w:tcW w:w="1264" w:type="dxa"/>
            <w:gridSpan w:val="2"/>
            <w:tcBorders>
              <w:top w:val="nil"/>
              <w:left w:val="nil"/>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＜10%</w:t>
            </w:r>
          </w:p>
        </w:tc>
        <w:tc>
          <w:tcPr>
            <w:tcW w:w="951" w:type="dxa"/>
            <w:tcBorders>
              <w:top w:val="nil"/>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2.90%</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661"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指标2：全市病理诊断率</w:t>
            </w:r>
          </w:p>
        </w:tc>
        <w:tc>
          <w:tcPr>
            <w:tcW w:w="1264" w:type="dxa"/>
            <w:gridSpan w:val="2"/>
            <w:tcBorders>
              <w:top w:val="nil"/>
              <w:left w:val="nil"/>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≥66%</w:t>
            </w:r>
          </w:p>
        </w:tc>
        <w:tc>
          <w:tcPr>
            <w:tcW w:w="951" w:type="dxa"/>
            <w:tcBorders>
              <w:top w:val="nil"/>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78.38%</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642"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指标3：死亡/发病比例</w:t>
            </w:r>
          </w:p>
        </w:tc>
        <w:tc>
          <w:tcPr>
            <w:tcW w:w="1264" w:type="dxa"/>
            <w:gridSpan w:val="2"/>
            <w:tcBorders>
              <w:top w:val="nil"/>
              <w:left w:val="nil"/>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≥0.50</w:t>
            </w:r>
          </w:p>
        </w:tc>
        <w:tc>
          <w:tcPr>
            <w:tcW w:w="951" w:type="dxa"/>
            <w:tcBorders>
              <w:top w:val="nil"/>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0.56</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587"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时效指标</w:t>
            </w: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指标1：肿瘤患者社区随访</w:t>
            </w:r>
          </w:p>
        </w:tc>
        <w:tc>
          <w:tcPr>
            <w:tcW w:w="1264" w:type="dxa"/>
            <w:gridSpan w:val="2"/>
            <w:tcBorders>
              <w:top w:val="nil"/>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sz w:val="18"/>
                <w:szCs w:val="18"/>
                <w:highlight w:val="none"/>
              </w:rPr>
              <w:t>不晚于2023年10月31日</w:t>
            </w:r>
          </w:p>
        </w:tc>
        <w:tc>
          <w:tcPr>
            <w:tcW w:w="951" w:type="dxa"/>
            <w:tcBorders>
              <w:top w:val="nil"/>
              <w:left w:val="nil"/>
              <w:bottom w:val="single" w:color="auto" w:sz="4" w:space="0"/>
              <w:right w:val="single" w:color="auto" w:sz="4" w:space="0"/>
            </w:tcBorders>
            <w:vAlign w:val="center"/>
          </w:tcPr>
          <w:p>
            <w:pPr>
              <w:jc w:val="lef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2023年7月29日完成</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1015"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指标2：提交国家癌症中心肿瘤登记数据</w:t>
            </w:r>
          </w:p>
        </w:tc>
        <w:tc>
          <w:tcPr>
            <w:tcW w:w="1264" w:type="dxa"/>
            <w:gridSpan w:val="2"/>
            <w:tcBorders>
              <w:top w:val="nil"/>
              <w:left w:val="nil"/>
              <w:bottom w:val="single" w:color="auto" w:sz="4" w:space="0"/>
              <w:right w:val="single" w:color="auto" w:sz="4" w:space="0"/>
            </w:tcBorders>
            <w:vAlign w:val="center"/>
          </w:tcPr>
          <w:p>
            <w:pPr>
              <w:jc w:val="center"/>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不晚于2023年6月30日</w:t>
            </w:r>
          </w:p>
        </w:tc>
        <w:tc>
          <w:tcPr>
            <w:tcW w:w="951" w:type="dxa"/>
            <w:tcBorders>
              <w:top w:val="nil"/>
              <w:left w:val="nil"/>
              <w:bottom w:val="single" w:color="auto" w:sz="4" w:space="0"/>
              <w:right w:val="single" w:color="auto" w:sz="4" w:space="0"/>
            </w:tcBorders>
            <w:vAlign w:val="center"/>
          </w:tcPr>
          <w:p>
            <w:pPr>
              <w:jc w:val="lef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2023年6月30日提交</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640"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成本指标</w:t>
            </w: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指标1：项目预算控制数</w:t>
            </w:r>
          </w:p>
        </w:tc>
        <w:tc>
          <w:tcPr>
            <w:tcW w:w="126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1330000</w:t>
            </w:r>
          </w:p>
        </w:tc>
        <w:tc>
          <w:tcPr>
            <w:tcW w:w="951"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1330000</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6</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1260"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效益指标</w:t>
            </w:r>
          </w:p>
        </w:tc>
        <w:tc>
          <w:tcPr>
            <w:tcW w:w="103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社会效益</w:t>
            </w:r>
          </w:p>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指标</w:t>
            </w: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指标1：获得现患癌症患者的生存状态信息，计算北京市肿瘤患者的5年生存率</w:t>
            </w:r>
          </w:p>
        </w:tc>
        <w:tc>
          <w:tcPr>
            <w:tcW w:w="1264" w:type="dxa"/>
            <w:gridSpan w:val="2"/>
            <w:tcBorders>
              <w:top w:val="nil"/>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color w:val="000000"/>
                <w:sz w:val="18"/>
                <w:szCs w:val="18"/>
                <w:highlight w:val="none"/>
              </w:rPr>
              <w:t>≥43%</w:t>
            </w:r>
          </w:p>
        </w:tc>
        <w:tc>
          <w:tcPr>
            <w:tcW w:w="951" w:type="dxa"/>
            <w:tcBorders>
              <w:top w:val="nil"/>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color w:val="000000"/>
                <w:sz w:val="18"/>
                <w:szCs w:val="18"/>
                <w:highlight w:val="none"/>
              </w:rPr>
              <w:t>53.77%</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10</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316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1034"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可持续影响指标</w:t>
            </w: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指标1：利用早诊率对规范疾病预防控制处置规范化生产的可持续影响，间接评估早诊早治效果</w:t>
            </w:r>
          </w:p>
        </w:tc>
        <w:tc>
          <w:tcPr>
            <w:tcW w:w="1264" w:type="dxa"/>
            <w:gridSpan w:val="2"/>
            <w:tcBorders>
              <w:top w:val="nil"/>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sz w:val="18"/>
                <w:szCs w:val="18"/>
                <w:highlight w:val="none"/>
              </w:rPr>
              <w:t>≥55%</w:t>
            </w:r>
          </w:p>
        </w:tc>
        <w:tc>
          <w:tcPr>
            <w:tcW w:w="951" w:type="dxa"/>
            <w:tcBorders>
              <w:top w:val="nil"/>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80.81%</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10</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该指标是通过参与筛查的人群中确诊的癌症和癌前病变患者数据计算得来，由于筛查出来的阳性患者例数较少，因此算出来的早诊比例会变动较大</w:t>
            </w:r>
          </w:p>
        </w:tc>
      </w:tr>
      <w:tr>
        <w:tblPrEx>
          <w:tblCellMar>
            <w:top w:w="0" w:type="dxa"/>
            <w:left w:w="108" w:type="dxa"/>
            <w:bottom w:w="0" w:type="dxa"/>
            <w:right w:w="108" w:type="dxa"/>
          </w:tblCellMar>
        </w:tblPrEx>
        <w:trPr>
          <w:trHeight w:val="1504"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满意度</w:t>
            </w:r>
          </w:p>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指标</w:t>
            </w: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服务对象满意度指标</w:t>
            </w:r>
          </w:p>
        </w:tc>
        <w:tc>
          <w:tcPr>
            <w:tcW w:w="177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指标1：接受肿瘤登记培训的医疗机构工作人员对于技术培训的满意度（是否可以满足其工作需要）</w:t>
            </w:r>
          </w:p>
        </w:tc>
        <w:tc>
          <w:tcPr>
            <w:tcW w:w="1264"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sz w:val="18"/>
                <w:szCs w:val="18"/>
                <w:highlight w:val="none"/>
              </w:rPr>
              <w:t>≥85%</w:t>
            </w:r>
          </w:p>
        </w:tc>
        <w:tc>
          <w:tcPr>
            <w:tcW w:w="951" w:type="dxa"/>
            <w:tcBorders>
              <w:top w:val="single" w:color="auto" w:sz="4" w:space="0"/>
              <w:left w:val="nil"/>
              <w:bottom w:val="single" w:color="auto" w:sz="4" w:space="0"/>
              <w:right w:val="single" w:color="auto" w:sz="4" w:space="0"/>
            </w:tcBorders>
            <w:vAlign w:val="center"/>
          </w:tcPr>
          <w:p>
            <w:pPr>
              <w:jc w:val="right"/>
              <w:rPr>
                <w:rFonts w:hint="eastAsia" w:asciiTheme="majorEastAsia" w:hAnsiTheme="majorEastAsia" w:eastAsiaTheme="majorEastAsia" w:cstheme="majorEastAsia"/>
                <w:color w:val="000000"/>
                <w:sz w:val="18"/>
                <w:szCs w:val="18"/>
                <w:highlight w:val="none"/>
              </w:rPr>
            </w:pPr>
            <w:r>
              <w:rPr>
                <w:rFonts w:hint="eastAsia" w:asciiTheme="majorEastAsia" w:hAnsiTheme="majorEastAsia" w:eastAsiaTheme="majorEastAsia" w:cstheme="majorEastAsia"/>
                <w:color w:val="000000"/>
                <w:sz w:val="18"/>
                <w:szCs w:val="18"/>
                <w:highlight w:val="none"/>
              </w:rPr>
              <w:t>97.06%</w:t>
            </w:r>
          </w:p>
        </w:tc>
        <w:tc>
          <w:tcPr>
            <w:tcW w:w="5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10</w:t>
            </w:r>
          </w:p>
        </w:tc>
        <w:tc>
          <w:tcPr>
            <w:tcW w:w="49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r>
              <w:rPr>
                <w:rFonts w:hint="eastAsia" w:asciiTheme="majorEastAsia" w:hAnsiTheme="majorEastAsia" w:eastAsiaTheme="majorEastAsia" w:cstheme="majorEastAsia"/>
                <w:kern w:val="0"/>
                <w:sz w:val="18"/>
                <w:szCs w:val="18"/>
                <w:highlight w:val="none"/>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r>
        <w:tblPrEx>
          <w:tblCellMar>
            <w:top w:w="0" w:type="dxa"/>
            <w:left w:w="108" w:type="dxa"/>
            <w:bottom w:w="0" w:type="dxa"/>
            <w:right w:w="108" w:type="dxa"/>
          </w:tblCellMar>
        </w:tblPrEx>
        <w:trPr>
          <w:trHeight w:val="291" w:hRule="exact"/>
          <w:jc w:val="center"/>
        </w:trPr>
        <w:tc>
          <w:tcPr>
            <w:tcW w:w="6676"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总分</w:t>
            </w:r>
          </w:p>
        </w:tc>
        <w:tc>
          <w:tcPr>
            <w:tcW w:w="582"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100</w:t>
            </w:r>
          </w:p>
        </w:tc>
        <w:tc>
          <w:tcPr>
            <w:tcW w:w="498" w:type="dxa"/>
            <w:tcBorders>
              <w:top w:val="nil"/>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color w:val="000000"/>
                <w:kern w:val="0"/>
                <w:sz w:val="18"/>
                <w:szCs w:val="18"/>
                <w:highlight w:val="none"/>
              </w:rPr>
            </w:pPr>
            <w:r>
              <w:rPr>
                <w:rFonts w:hint="eastAsia" w:asciiTheme="majorEastAsia" w:hAnsiTheme="majorEastAsia" w:eastAsiaTheme="majorEastAsia" w:cstheme="majorEastAsia"/>
                <w:color w:val="000000"/>
                <w:kern w:val="0"/>
                <w:sz w:val="18"/>
                <w:szCs w:val="18"/>
                <w:highlight w:val="none"/>
              </w:rPr>
              <w:t>100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heme="majorEastAsia" w:hAnsiTheme="majorEastAsia" w:eastAsiaTheme="majorEastAsia" w:cstheme="majorEastAsia"/>
                <w:kern w:val="0"/>
                <w:sz w:val="18"/>
                <w:szCs w:val="18"/>
                <w:highlight w:val="none"/>
              </w:rPr>
            </w:pP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xNzAzZTU5NzIxOWNiNDQ1ZjBlMTdjZjQ4M2JiMjMifQ=="/>
  </w:docVars>
  <w:rsids>
    <w:rsidRoot w:val="28FF42C9"/>
    <w:rsid w:val="001C356D"/>
    <w:rsid w:val="00534F73"/>
    <w:rsid w:val="00562D02"/>
    <w:rsid w:val="0060362E"/>
    <w:rsid w:val="00702322"/>
    <w:rsid w:val="008F5F68"/>
    <w:rsid w:val="00A00532"/>
    <w:rsid w:val="00A66ADA"/>
    <w:rsid w:val="00B23A57"/>
    <w:rsid w:val="00D97BA0"/>
    <w:rsid w:val="00F05F3B"/>
    <w:rsid w:val="00FA4F1F"/>
    <w:rsid w:val="01587078"/>
    <w:rsid w:val="0167401F"/>
    <w:rsid w:val="09E85450"/>
    <w:rsid w:val="0AA8200A"/>
    <w:rsid w:val="1C46568C"/>
    <w:rsid w:val="28FF42C9"/>
    <w:rsid w:val="61AA7138"/>
    <w:rsid w:val="63872CC8"/>
    <w:rsid w:val="6E7838C8"/>
    <w:rsid w:val="70C57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Autospacing="1" w:afterAutospacing="1"/>
      <w:jc w:val="left"/>
    </w:pPr>
    <w:rPr>
      <w:kern w:val="0"/>
      <w:sz w:val="24"/>
    </w:rPr>
  </w:style>
  <w:style w:type="character" w:customStyle="1" w:styleId="9">
    <w:name w:val="页眉 Char"/>
    <w:basedOn w:val="8"/>
    <w:link w:val="5"/>
    <w:autoRedefine/>
    <w:qFormat/>
    <w:uiPriority w:val="0"/>
    <w:rPr>
      <w:kern w:val="2"/>
      <w:sz w:val="18"/>
      <w:szCs w:val="18"/>
    </w:rPr>
  </w:style>
  <w:style w:type="character" w:customStyle="1" w:styleId="10">
    <w:name w:val="页脚 Char"/>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274</Words>
  <Characters>1566</Characters>
  <Lines>13</Lines>
  <Paragraphs>3</Paragraphs>
  <TotalTime>5</TotalTime>
  <ScaleCrop>false</ScaleCrop>
  <LinksUpToDate>false</LinksUpToDate>
  <CharactersWithSpaces>1837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2024-05-07T06:40:00Z</dcterms:created>
  <dc:creator>csj</dc:creator>
  <cp:lastModifiedBy>csj</cp:lastModifiedBy>
  <dcterms:modified xsi:type="dcterms:W3CDTF">2024-05-07T07:37:01Z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2E67CD08D038424380548C852F5653CC_13</vt:lpwstr>
  </property>
</Properties>
</file>