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color w:val="000000"/>
          <w:kern w:val="0"/>
          <w:sz w:val="24"/>
        </w:rPr>
      </w:pPr>
      <w:r>
        <w:rPr>
          <w:rFonts w:hint="eastAsia" w:ascii="宋体" w:hAnsi="宋体" w:cs="宋体"/>
          <w:color w:val="000000"/>
          <w:kern w:val="0"/>
          <w:sz w:val="24"/>
        </w:rPr>
        <w:t xml:space="preserve">  项目支出绩效自评表</w:t>
      </w:r>
    </w:p>
    <w:p>
      <w:pPr>
        <w:jc w:val="center"/>
      </w:pPr>
      <w:r>
        <w:rPr>
          <w:rFonts w:hint="eastAsia" w:ascii="宋体" w:hAnsi="宋体" w:cs="宋体"/>
          <w:color w:val="000000"/>
          <w:kern w:val="0"/>
          <w:sz w:val="24"/>
        </w:rPr>
        <w:t>（2022年度）</w:t>
      </w:r>
    </w:p>
    <w:tbl>
      <w:tblPr>
        <w:tblStyle w:val="4"/>
        <w:tblW w:w="9918" w:type="dxa"/>
        <w:jc w:val="center"/>
        <w:tblLayout w:type="fixed"/>
        <w:tblCellMar>
          <w:top w:w="0" w:type="dxa"/>
          <w:left w:w="108" w:type="dxa"/>
          <w:bottom w:w="0" w:type="dxa"/>
          <w:right w:w="108" w:type="dxa"/>
        </w:tblCellMar>
      </w:tblPr>
      <w:tblGrid>
        <w:gridCol w:w="427"/>
        <w:gridCol w:w="1009"/>
        <w:gridCol w:w="1699"/>
        <w:gridCol w:w="1014"/>
        <w:gridCol w:w="885"/>
        <w:gridCol w:w="1590"/>
        <w:gridCol w:w="1430"/>
        <w:gridCol w:w="531"/>
        <w:gridCol w:w="426"/>
        <w:gridCol w:w="907"/>
      </w:tblGrid>
      <w:tr>
        <w:tblPrEx>
          <w:tblCellMar>
            <w:top w:w="0" w:type="dxa"/>
            <w:left w:w="108" w:type="dxa"/>
            <w:bottom w:w="0" w:type="dxa"/>
            <w:right w:w="108" w:type="dxa"/>
          </w:tblCellMar>
        </w:tblPrEx>
        <w:trPr>
          <w:trHeight w:val="465" w:hRule="atLeast"/>
          <w:jc w:val="center"/>
        </w:trPr>
        <w:tc>
          <w:tcPr>
            <w:tcW w:w="14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项目名称</w:t>
            </w:r>
          </w:p>
        </w:tc>
        <w:tc>
          <w:tcPr>
            <w:tcW w:w="8482"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北京</w:t>
            </w:r>
            <w:r>
              <w:rPr>
                <w:rFonts w:ascii="宋体" w:hAnsi="宋体" w:cs="宋体"/>
                <w:color w:val="000000"/>
                <w:kern w:val="0"/>
                <w:szCs w:val="21"/>
              </w:rPr>
              <w:t>中医医院</w:t>
            </w:r>
            <w:r>
              <w:rPr>
                <w:rFonts w:hint="eastAsia" w:ascii="宋体" w:hAnsi="宋体" w:cs="宋体"/>
                <w:color w:val="000000"/>
                <w:kern w:val="0"/>
                <w:szCs w:val="21"/>
              </w:rPr>
              <w:t>安全</w:t>
            </w:r>
            <w:r>
              <w:rPr>
                <w:rFonts w:ascii="宋体" w:hAnsi="宋体" w:cs="宋体"/>
                <w:color w:val="000000"/>
                <w:kern w:val="0"/>
                <w:szCs w:val="21"/>
              </w:rPr>
              <w:t>隐患整治项目</w:t>
            </w:r>
          </w:p>
        </w:tc>
      </w:tr>
      <w:tr>
        <w:tblPrEx>
          <w:tblCellMar>
            <w:top w:w="0" w:type="dxa"/>
            <w:left w:w="108" w:type="dxa"/>
            <w:bottom w:w="0" w:type="dxa"/>
            <w:right w:w="108" w:type="dxa"/>
          </w:tblCellMar>
        </w:tblPrEx>
        <w:trPr>
          <w:trHeight w:val="465" w:hRule="atLeast"/>
          <w:jc w:val="center"/>
        </w:trPr>
        <w:tc>
          <w:tcPr>
            <w:tcW w:w="14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主管部门</w:t>
            </w:r>
          </w:p>
        </w:tc>
        <w:tc>
          <w:tcPr>
            <w:tcW w:w="359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北京市医院管理中心</w:t>
            </w: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实施单</w:t>
            </w:r>
            <w:bookmarkStart w:id="0" w:name="_GoBack"/>
            <w:bookmarkEnd w:id="0"/>
            <w:r>
              <w:rPr>
                <w:rFonts w:hint="eastAsia" w:ascii="宋体" w:hAnsi="宋体" w:cs="宋体"/>
                <w:color w:val="000000"/>
                <w:kern w:val="0"/>
                <w:szCs w:val="21"/>
              </w:rPr>
              <w:t>位</w:t>
            </w:r>
          </w:p>
        </w:tc>
        <w:tc>
          <w:tcPr>
            <w:tcW w:w="329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首都医科大学附属北京中医医院</w:t>
            </w:r>
          </w:p>
        </w:tc>
      </w:tr>
      <w:tr>
        <w:tblPrEx>
          <w:tblCellMar>
            <w:top w:w="0" w:type="dxa"/>
            <w:left w:w="108" w:type="dxa"/>
            <w:bottom w:w="0" w:type="dxa"/>
            <w:right w:w="108" w:type="dxa"/>
          </w:tblCellMar>
        </w:tblPrEx>
        <w:trPr>
          <w:trHeight w:val="465" w:hRule="atLeast"/>
          <w:jc w:val="center"/>
        </w:trPr>
        <w:tc>
          <w:tcPr>
            <w:tcW w:w="14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项目负责人</w:t>
            </w:r>
          </w:p>
        </w:tc>
        <w:tc>
          <w:tcPr>
            <w:tcW w:w="359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焦以飞</w:t>
            </w: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联系电话</w:t>
            </w:r>
          </w:p>
        </w:tc>
        <w:tc>
          <w:tcPr>
            <w:tcW w:w="329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010-87906686</w:t>
            </w:r>
          </w:p>
        </w:tc>
      </w:tr>
      <w:tr>
        <w:tblPrEx>
          <w:tblCellMar>
            <w:top w:w="0" w:type="dxa"/>
            <w:left w:w="108" w:type="dxa"/>
            <w:bottom w:w="0" w:type="dxa"/>
            <w:right w:w="108" w:type="dxa"/>
          </w:tblCellMar>
        </w:tblPrEx>
        <w:trPr>
          <w:trHeight w:val="726" w:hRule="atLeast"/>
          <w:jc w:val="center"/>
        </w:trPr>
        <w:tc>
          <w:tcPr>
            <w:tcW w:w="14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项目资金</w:t>
            </w:r>
            <w:r>
              <w:rPr>
                <w:rFonts w:hint="eastAsia" w:ascii="宋体" w:hAnsi="宋体" w:cs="宋体"/>
                <w:color w:val="000000"/>
                <w:kern w:val="0"/>
                <w:szCs w:val="21"/>
              </w:rPr>
              <w:br w:type="textWrapping"/>
            </w:r>
            <w:r>
              <w:rPr>
                <w:rFonts w:hint="eastAsia" w:ascii="宋体" w:hAnsi="宋体" w:cs="宋体"/>
                <w:color w:val="000000"/>
                <w:kern w:val="0"/>
                <w:szCs w:val="21"/>
              </w:rPr>
              <w:t>（万元）</w:t>
            </w:r>
          </w:p>
        </w:tc>
        <w:tc>
          <w:tcPr>
            <w:tcW w:w="169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年初预</w:t>
            </w:r>
            <w:r>
              <w:rPr>
                <w:rFonts w:hint="eastAsia" w:ascii="宋体" w:hAnsi="宋体" w:cs="宋体"/>
                <w:color w:val="000000"/>
                <w:kern w:val="0"/>
                <w:szCs w:val="21"/>
              </w:rPr>
              <w:br w:type="textWrapping"/>
            </w:r>
            <w:r>
              <w:rPr>
                <w:rFonts w:hint="eastAsia" w:ascii="宋体" w:hAnsi="宋体" w:cs="宋体"/>
                <w:color w:val="000000"/>
                <w:kern w:val="0"/>
                <w:szCs w:val="21"/>
              </w:rPr>
              <w:t>算数</w:t>
            </w:r>
          </w:p>
        </w:tc>
        <w:tc>
          <w:tcPr>
            <w:tcW w:w="8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全年预</w:t>
            </w:r>
            <w:r>
              <w:rPr>
                <w:rFonts w:hint="eastAsia" w:ascii="宋体" w:hAnsi="宋体" w:cs="宋体"/>
                <w:color w:val="000000"/>
                <w:kern w:val="0"/>
                <w:szCs w:val="21"/>
              </w:rPr>
              <w:br w:type="textWrapping"/>
            </w:r>
            <w:r>
              <w:rPr>
                <w:rFonts w:hint="eastAsia" w:ascii="宋体" w:hAnsi="宋体" w:cs="宋体"/>
                <w:color w:val="000000"/>
                <w:kern w:val="0"/>
                <w:szCs w:val="21"/>
              </w:rPr>
              <w:t>算数</w:t>
            </w: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ind w:right="174" w:rightChars="83"/>
              <w:jc w:val="center"/>
              <w:rPr>
                <w:rFonts w:ascii="宋体" w:hAnsi="宋体" w:cs="宋体"/>
                <w:color w:val="000000"/>
                <w:kern w:val="0"/>
                <w:szCs w:val="21"/>
              </w:rPr>
            </w:pPr>
            <w:r>
              <w:rPr>
                <w:rFonts w:hint="eastAsia" w:ascii="宋体" w:hAnsi="宋体" w:cs="宋体"/>
                <w:color w:val="000000"/>
                <w:kern w:val="0"/>
                <w:szCs w:val="21"/>
              </w:rPr>
              <w:t xml:space="preserve">  全年</w:t>
            </w:r>
            <w:r>
              <w:rPr>
                <w:rFonts w:hint="eastAsia" w:ascii="宋体" w:hAnsi="宋体" w:cs="宋体"/>
                <w:color w:val="000000"/>
                <w:kern w:val="0"/>
                <w:szCs w:val="21"/>
              </w:rPr>
              <w:br w:type="textWrapping"/>
            </w:r>
            <w:r>
              <w:rPr>
                <w:rFonts w:hint="eastAsia" w:ascii="宋体" w:hAnsi="宋体" w:cs="宋体"/>
                <w:color w:val="000000"/>
                <w:kern w:val="0"/>
                <w:szCs w:val="21"/>
              </w:rPr>
              <w:t>执行数</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分值</w:t>
            </w:r>
          </w:p>
        </w:tc>
        <w:tc>
          <w:tcPr>
            <w:tcW w:w="95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执行率</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得分</w:t>
            </w:r>
          </w:p>
        </w:tc>
      </w:tr>
      <w:tr>
        <w:tblPrEx>
          <w:tblCellMar>
            <w:top w:w="0" w:type="dxa"/>
            <w:left w:w="108" w:type="dxa"/>
            <w:bottom w:w="0" w:type="dxa"/>
            <w:right w:w="108" w:type="dxa"/>
          </w:tblCellMar>
        </w:tblPrEx>
        <w:trPr>
          <w:trHeight w:val="642" w:hRule="atLeast"/>
          <w:jc w:val="center"/>
        </w:trPr>
        <w:tc>
          <w:tcPr>
            <w:tcW w:w="143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年度资金总额</w:t>
            </w:r>
          </w:p>
        </w:tc>
        <w:tc>
          <w:tcPr>
            <w:tcW w:w="1014"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xml:space="preserve">     </w:t>
            </w:r>
            <w:r>
              <w:rPr>
                <w:rFonts w:ascii="宋体" w:hAnsi="宋体" w:cs="宋体"/>
                <w:color w:val="000000"/>
                <w:kern w:val="0"/>
                <w:szCs w:val="21"/>
              </w:rPr>
              <w:t>783.68</w:t>
            </w:r>
          </w:p>
        </w:tc>
        <w:tc>
          <w:tcPr>
            <w:tcW w:w="8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783.68</w:t>
            </w: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783.68</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95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100%</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r>
      <w:tr>
        <w:tblPrEx>
          <w:tblCellMar>
            <w:top w:w="0" w:type="dxa"/>
            <w:left w:w="108" w:type="dxa"/>
            <w:bottom w:w="0" w:type="dxa"/>
            <w:right w:w="108" w:type="dxa"/>
          </w:tblCellMar>
        </w:tblPrEx>
        <w:trPr>
          <w:trHeight w:val="465" w:hRule="atLeast"/>
          <w:jc w:val="center"/>
        </w:trPr>
        <w:tc>
          <w:tcPr>
            <w:tcW w:w="143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其中：当年财政拨款</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783.68</w:t>
            </w:r>
          </w:p>
        </w:tc>
        <w:tc>
          <w:tcPr>
            <w:tcW w:w="885"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xml:space="preserve">   </w:t>
            </w:r>
            <w:r>
              <w:rPr>
                <w:rFonts w:ascii="宋体" w:hAnsi="宋体" w:cs="宋体"/>
                <w:color w:val="000000"/>
                <w:kern w:val="0"/>
                <w:szCs w:val="21"/>
              </w:rPr>
              <w:t>783.68</w:t>
            </w: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ascii="宋体" w:hAnsi="宋体" w:cs="宋体"/>
                <w:color w:val="000000"/>
                <w:kern w:val="0"/>
                <w:szCs w:val="21"/>
              </w:rPr>
              <w:t>783.68</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95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100%</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r>
      <w:tr>
        <w:tblPrEx>
          <w:tblCellMar>
            <w:top w:w="0" w:type="dxa"/>
            <w:left w:w="108" w:type="dxa"/>
            <w:bottom w:w="0" w:type="dxa"/>
            <w:right w:w="108" w:type="dxa"/>
          </w:tblCellMar>
        </w:tblPrEx>
        <w:trPr>
          <w:trHeight w:val="465" w:hRule="atLeast"/>
          <w:jc w:val="center"/>
        </w:trPr>
        <w:tc>
          <w:tcPr>
            <w:tcW w:w="143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xml:space="preserve">     上年结转资金</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8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95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r>
      <w:tr>
        <w:tblPrEx>
          <w:tblCellMar>
            <w:top w:w="0" w:type="dxa"/>
            <w:left w:w="108" w:type="dxa"/>
            <w:bottom w:w="0" w:type="dxa"/>
            <w:right w:w="108" w:type="dxa"/>
          </w:tblCellMar>
        </w:tblPrEx>
        <w:trPr>
          <w:trHeight w:val="465" w:hRule="atLeast"/>
          <w:jc w:val="center"/>
        </w:trPr>
        <w:tc>
          <w:tcPr>
            <w:tcW w:w="143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xml:space="preserve">  其他资金</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8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95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r>
      <w:tr>
        <w:tblPrEx>
          <w:tblCellMar>
            <w:top w:w="0" w:type="dxa"/>
            <w:left w:w="108" w:type="dxa"/>
            <w:bottom w:w="0" w:type="dxa"/>
            <w:right w:w="108" w:type="dxa"/>
          </w:tblCellMar>
        </w:tblPrEx>
        <w:trPr>
          <w:trHeight w:val="615" w:hRule="atLeast"/>
          <w:jc w:val="center"/>
        </w:trPr>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年度总体目标</w:t>
            </w:r>
          </w:p>
        </w:tc>
        <w:tc>
          <w:tcPr>
            <w:tcW w:w="460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预期目标</w:t>
            </w:r>
          </w:p>
        </w:tc>
        <w:tc>
          <w:tcPr>
            <w:tcW w:w="488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实际完成情况</w:t>
            </w:r>
          </w:p>
        </w:tc>
      </w:tr>
      <w:tr>
        <w:tblPrEx>
          <w:tblCellMar>
            <w:top w:w="0" w:type="dxa"/>
            <w:left w:w="108" w:type="dxa"/>
            <w:bottom w:w="0" w:type="dxa"/>
            <w:right w:w="108" w:type="dxa"/>
          </w:tblCellMar>
        </w:tblPrEx>
        <w:trPr>
          <w:trHeight w:val="139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4607" w:type="dxa"/>
            <w:gridSpan w:val="4"/>
            <w:tcBorders>
              <w:top w:val="single" w:color="auto" w:sz="4" w:space="0"/>
              <w:left w:val="nil"/>
              <w:bottom w:val="single" w:color="auto" w:sz="4" w:space="0"/>
              <w:right w:val="single" w:color="auto" w:sz="4" w:space="0"/>
            </w:tcBorders>
            <w:shd w:val="clear" w:color="auto" w:fill="auto"/>
            <w:vAlign w:val="center"/>
          </w:tcPr>
          <w:p>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我单位安全隐患整治项目包含配电室改造项目及锅炉房设备更新项目，其中：配电室改造项目上年度已完成财政评审，评审后配电室改造项目共计847.67万元，2021年已拨付首付款487万元，2022年度申请项目尾款360.47万元，本项目预计于2022年度完成配电室尾款支付以及验收工作。</w:t>
            </w:r>
          </w:p>
          <w:p>
            <w:pPr>
              <w:widowControl/>
              <w:jc w:val="left"/>
              <w:rPr>
                <w:rFonts w:ascii="宋体" w:hAnsi="宋体" w:cs="宋体"/>
                <w:color w:val="000000"/>
                <w:kern w:val="0"/>
                <w:szCs w:val="21"/>
              </w:rPr>
            </w:pPr>
            <w:r>
              <w:rPr>
                <w:rFonts w:hint="eastAsia" w:ascii="宋体" w:hAnsi="宋体" w:cs="宋体"/>
                <w:color w:val="000000"/>
                <w:kern w:val="0"/>
                <w:szCs w:val="21"/>
              </w:rPr>
              <w:t>其中锅炉房设备更新项目为本年度起新增安全隐患</w:t>
            </w:r>
            <w:r>
              <w:rPr>
                <w:rFonts w:ascii="宋体" w:hAnsi="宋体" w:cs="宋体"/>
                <w:color w:val="000000"/>
                <w:kern w:val="0"/>
                <w:szCs w:val="21"/>
              </w:rPr>
              <w:t>治理</w:t>
            </w:r>
            <w:r>
              <w:rPr>
                <w:rFonts w:hint="eastAsia" w:ascii="宋体" w:hAnsi="宋体" w:cs="宋体"/>
                <w:color w:val="000000"/>
                <w:kern w:val="0"/>
                <w:szCs w:val="21"/>
              </w:rPr>
              <w:t>项目，项目期两年，项目总预算为769.11万元，2022年按项目预算的55%申请首款423.01万元，2023年申请剩余尾款346.1万元，预计2022年完成锅项目招标采购以及设备施工以及首付款支付工作，2023年完成改造验收，通过项目的逐步落实，消灭影响医院电力系统安全运行的隐患，确保正常、稳定的医疗秩序，助力医院安全稳定生产，同时通过新设备的使用，使医院动力系统更加节能、智慧和高效。</w:t>
            </w:r>
          </w:p>
        </w:tc>
        <w:tc>
          <w:tcPr>
            <w:tcW w:w="4884"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一</w:t>
            </w:r>
            <w:r>
              <w:rPr>
                <w:rFonts w:ascii="宋体" w:hAnsi="宋体" w:cs="宋体"/>
                <w:color w:val="000000"/>
                <w:kern w:val="0"/>
                <w:szCs w:val="21"/>
              </w:rPr>
              <w:t>、完成了配电室</w:t>
            </w:r>
            <w:r>
              <w:rPr>
                <w:rFonts w:hint="eastAsia" w:ascii="宋体" w:hAnsi="宋体" w:cs="宋体"/>
                <w:color w:val="000000"/>
                <w:kern w:val="0"/>
                <w:szCs w:val="21"/>
              </w:rPr>
              <w:t>改造</w:t>
            </w:r>
            <w:r>
              <w:rPr>
                <w:rFonts w:ascii="宋体" w:hAnsi="宋体" w:cs="宋体"/>
                <w:color w:val="000000"/>
                <w:kern w:val="0"/>
                <w:szCs w:val="21"/>
              </w:rPr>
              <w:t>项目的验收</w:t>
            </w:r>
            <w:r>
              <w:rPr>
                <w:rFonts w:hint="eastAsia" w:ascii="宋体" w:hAnsi="宋体" w:cs="宋体"/>
                <w:color w:val="000000"/>
                <w:kern w:val="0"/>
                <w:szCs w:val="21"/>
              </w:rPr>
              <w:t>和</w:t>
            </w:r>
            <w:r>
              <w:rPr>
                <w:rFonts w:ascii="宋体" w:hAnsi="宋体" w:cs="宋体"/>
                <w:color w:val="000000"/>
                <w:kern w:val="0"/>
                <w:szCs w:val="21"/>
              </w:rPr>
              <w:t>尾款支付工作</w:t>
            </w:r>
            <w:r>
              <w:rPr>
                <w:rFonts w:hint="eastAsia" w:ascii="宋体" w:hAnsi="宋体" w:cs="宋体"/>
                <w:color w:val="000000"/>
                <w:kern w:val="0"/>
                <w:szCs w:val="21"/>
              </w:rPr>
              <w:t>；</w:t>
            </w:r>
          </w:p>
          <w:p>
            <w:pPr>
              <w:widowControl/>
              <w:jc w:val="left"/>
              <w:rPr>
                <w:rFonts w:ascii="宋体" w:hAnsi="宋体" w:cs="宋体"/>
                <w:color w:val="000000"/>
                <w:kern w:val="0"/>
                <w:szCs w:val="21"/>
              </w:rPr>
            </w:pPr>
            <w:r>
              <w:rPr>
                <w:rFonts w:hint="eastAsia" w:ascii="宋体" w:hAnsi="宋体" w:cs="宋体"/>
                <w:color w:val="000000"/>
                <w:kern w:val="0"/>
                <w:szCs w:val="21"/>
              </w:rPr>
              <w:t>二</w:t>
            </w:r>
            <w:r>
              <w:rPr>
                <w:rFonts w:ascii="宋体" w:hAnsi="宋体" w:cs="宋体"/>
                <w:color w:val="000000"/>
                <w:kern w:val="0"/>
                <w:szCs w:val="21"/>
              </w:rPr>
              <w:t>、锅炉房设备更新工程完成了施工合同和设备采购合同的签订，</w:t>
            </w:r>
            <w:r>
              <w:rPr>
                <w:rFonts w:hint="eastAsia" w:ascii="宋体" w:hAnsi="宋体" w:cs="宋体"/>
                <w:color w:val="000000"/>
                <w:kern w:val="0"/>
                <w:szCs w:val="21"/>
              </w:rPr>
              <w:t>同时</w:t>
            </w:r>
            <w:r>
              <w:rPr>
                <w:rFonts w:ascii="宋体" w:hAnsi="宋体" w:cs="宋体"/>
                <w:color w:val="000000"/>
                <w:kern w:val="0"/>
                <w:szCs w:val="21"/>
              </w:rPr>
              <w:t>按照合同约定</w:t>
            </w:r>
            <w:r>
              <w:rPr>
                <w:rFonts w:hint="eastAsia" w:ascii="宋体" w:hAnsi="宋体" w:cs="宋体"/>
                <w:color w:val="000000"/>
                <w:kern w:val="0"/>
                <w:szCs w:val="21"/>
              </w:rPr>
              <w:t>开展了</w:t>
            </w:r>
            <w:r>
              <w:rPr>
                <w:rFonts w:ascii="宋体" w:hAnsi="宋体" w:cs="宋体"/>
                <w:color w:val="000000"/>
                <w:kern w:val="0"/>
                <w:szCs w:val="21"/>
              </w:rPr>
              <w:t>第一阶段的</w:t>
            </w:r>
            <w:r>
              <w:rPr>
                <w:rFonts w:hint="eastAsia" w:ascii="宋体" w:hAnsi="宋体" w:cs="宋体"/>
                <w:color w:val="000000"/>
                <w:kern w:val="0"/>
                <w:szCs w:val="21"/>
              </w:rPr>
              <w:t>采购工作和</w:t>
            </w:r>
            <w:r>
              <w:rPr>
                <w:rFonts w:ascii="宋体" w:hAnsi="宋体" w:cs="宋体"/>
                <w:color w:val="000000"/>
                <w:kern w:val="0"/>
                <w:szCs w:val="21"/>
              </w:rPr>
              <w:t>施工工作，完成了锅炉房内换热站</w:t>
            </w:r>
            <w:r>
              <w:rPr>
                <w:rFonts w:hint="eastAsia" w:ascii="宋体" w:hAnsi="宋体" w:cs="宋体"/>
                <w:color w:val="000000"/>
                <w:kern w:val="0"/>
                <w:szCs w:val="21"/>
              </w:rPr>
              <w:t>设备</w:t>
            </w:r>
            <w:r>
              <w:rPr>
                <w:rFonts w:ascii="宋体" w:hAnsi="宋体" w:cs="宋体"/>
                <w:color w:val="000000"/>
                <w:kern w:val="0"/>
                <w:szCs w:val="21"/>
              </w:rPr>
              <w:t>的更新，并在冬季供暖期间顺利投入使用。</w:t>
            </w:r>
          </w:p>
        </w:tc>
      </w:tr>
      <w:tr>
        <w:tblPrEx>
          <w:tblCellMar>
            <w:top w:w="0" w:type="dxa"/>
            <w:left w:w="108" w:type="dxa"/>
            <w:bottom w:w="0" w:type="dxa"/>
            <w:right w:w="108" w:type="dxa"/>
          </w:tblCellMar>
        </w:tblPrEx>
        <w:trPr>
          <w:trHeight w:val="312" w:hRule="atLeast"/>
          <w:jc w:val="center"/>
        </w:trPr>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绩</w:t>
            </w:r>
            <w:r>
              <w:rPr>
                <w:rFonts w:hint="eastAsia" w:ascii="宋体" w:hAnsi="宋体" w:cs="宋体"/>
                <w:color w:val="000000"/>
                <w:kern w:val="0"/>
                <w:szCs w:val="21"/>
              </w:rPr>
              <w:br w:type="textWrapping"/>
            </w:r>
            <w:r>
              <w:rPr>
                <w:rFonts w:hint="eastAsia" w:ascii="宋体" w:hAnsi="宋体" w:cs="宋体"/>
                <w:color w:val="000000"/>
                <w:kern w:val="0"/>
                <w:szCs w:val="21"/>
              </w:rPr>
              <w:t>效</w:t>
            </w:r>
            <w:r>
              <w:rPr>
                <w:rFonts w:hint="eastAsia" w:ascii="宋体" w:hAnsi="宋体" w:cs="宋体"/>
                <w:color w:val="000000"/>
                <w:kern w:val="0"/>
                <w:szCs w:val="21"/>
              </w:rPr>
              <w:br w:type="textWrapping"/>
            </w:r>
            <w:r>
              <w:rPr>
                <w:rFonts w:hint="eastAsia" w:ascii="宋体" w:hAnsi="宋体" w:cs="宋体"/>
                <w:color w:val="000000"/>
                <w:kern w:val="0"/>
                <w:szCs w:val="21"/>
              </w:rPr>
              <w:t>指</w:t>
            </w:r>
            <w:r>
              <w:rPr>
                <w:rFonts w:hint="eastAsia" w:ascii="宋体" w:hAnsi="宋体" w:cs="宋体"/>
                <w:color w:val="000000"/>
                <w:kern w:val="0"/>
                <w:szCs w:val="21"/>
              </w:rPr>
              <w:br w:type="textWrapping"/>
            </w:r>
            <w:r>
              <w:rPr>
                <w:rFonts w:hint="eastAsia" w:ascii="宋体" w:hAnsi="宋体" w:cs="宋体"/>
                <w:color w:val="000000"/>
                <w:kern w:val="0"/>
                <w:szCs w:val="21"/>
              </w:rPr>
              <w:t>标</w:t>
            </w:r>
          </w:p>
        </w:tc>
        <w:tc>
          <w:tcPr>
            <w:tcW w:w="10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一级指标</w:t>
            </w:r>
          </w:p>
        </w:tc>
        <w:tc>
          <w:tcPr>
            <w:tcW w:w="16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二级指标</w:t>
            </w:r>
          </w:p>
        </w:tc>
        <w:tc>
          <w:tcPr>
            <w:tcW w:w="18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三级指标</w:t>
            </w:r>
          </w:p>
        </w:tc>
        <w:tc>
          <w:tcPr>
            <w:tcW w:w="15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年度</w:t>
            </w:r>
            <w:r>
              <w:rPr>
                <w:rFonts w:hint="eastAsia" w:ascii="宋体" w:hAnsi="宋体" w:cs="宋体"/>
                <w:color w:val="000000"/>
                <w:kern w:val="0"/>
                <w:szCs w:val="21"/>
              </w:rPr>
              <w:br w:type="textWrapping"/>
            </w:r>
            <w:r>
              <w:rPr>
                <w:rFonts w:hint="eastAsia" w:ascii="宋体" w:hAnsi="宋体" w:cs="宋体"/>
                <w:color w:val="000000"/>
                <w:kern w:val="0"/>
                <w:szCs w:val="21"/>
              </w:rPr>
              <w:t>指标值</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实际</w:t>
            </w:r>
            <w:r>
              <w:rPr>
                <w:rFonts w:hint="eastAsia" w:ascii="宋体" w:hAnsi="宋体" w:cs="宋体"/>
                <w:color w:val="000000"/>
                <w:kern w:val="0"/>
                <w:szCs w:val="21"/>
              </w:rPr>
              <w:br w:type="textWrapping"/>
            </w:r>
            <w:r>
              <w:rPr>
                <w:rFonts w:hint="eastAsia" w:ascii="宋体" w:hAnsi="宋体" w:cs="宋体"/>
                <w:color w:val="000000"/>
                <w:kern w:val="0"/>
                <w:szCs w:val="21"/>
              </w:rPr>
              <w:t>完成值</w:t>
            </w:r>
          </w:p>
        </w:tc>
        <w:tc>
          <w:tcPr>
            <w:tcW w:w="5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分值</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得分</w:t>
            </w:r>
          </w:p>
        </w:tc>
        <w:tc>
          <w:tcPr>
            <w:tcW w:w="9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偏差原因分析及改进措施</w:t>
            </w:r>
          </w:p>
        </w:tc>
      </w:tr>
      <w:tr>
        <w:tblPrEx>
          <w:tblCellMar>
            <w:top w:w="0" w:type="dxa"/>
            <w:left w:w="108" w:type="dxa"/>
            <w:bottom w:w="0" w:type="dxa"/>
            <w:right w:w="108" w:type="dxa"/>
          </w:tblCellMar>
        </w:tblPrEx>
        <w:trPr>
          <w:trHeight w:val="312"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89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59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43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531"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42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产出指标</w:t>
            </w:r>
          </w:p>
        </w:tc>
        <w:tc>
          <w:tcPr>
            <w:tcW w:w="1699" w:type="dxa"/>
            <w:vMerge w:val="restart"/>
            <w:tcBorders>
              <w:top w:val="nil"/>
              <w:left w:val="nil"/>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数量指标</w:t>
            </w:r>
          </w:p>
          <w:p>
            <w:pPr>
              <w:jc w:val="center"/>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总变电室</w:t>
            </w:r>
            <w:r>
              <w:rPr>
                <w:rFonts w:ascii="宋体" w:hAnsi="宋体" w:cs="宋体"/>
                <w:color w:val="000000"/>
                <w:kern w:val="0"/>
                <w:szCs w:val="21"/>
              </w:rPr>
              <w:t>设备改造</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1</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1</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3</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3</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锅炉房设备</w:t>
            </w:r>
            <w:r>
              <w:rPr>
                <w:rFonts w:ascii="宋体" w:hAnsi="宋体" w:cs="宋体"/>
                <w:color w:val="000000"/>
                <w:kern w:val="0"/>
                <w:szCs w:val="21"/>
              </w:rPr>
              <w:t>更新</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1</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1</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3</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2</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本项目</w:t>
            </w:r>
            <w:r>
              <w:rPr>
                <w:rFonts w:ascii="宋体" w:hAnsi="宋体" w:cs="宋体"/>
                <w:color w:val="000000"/>
                <w:kern w:val="0"/>
                <w:szCs w:val="21"/>
              </w:rPr>
              <w:t>为两年期项目，</w:t>
            </w:r>
            <w:r>
              <w:rPr>
                <w:rFonts w:hint="eastAsia" w:ascii="宋体" w:hAnsi="宋体" w:cs="宋体"/>
                <w:color w:val="000000"/>
                <w:kern w:val="0"/>
                <w:szCs w:val="21"/>
              </w:rPr>
              <w:t>2022年度</w:t>
            </w:r>
            <w:r>
              <w:rPr>
                <w:rFonts w:ascii="宋体" w:hAnsi="宋体" w:cs="宋体"/>
                <w:color w:val="000000"/>
                <w:kern w:val="0"/>
                <w:szCs w:val="21"/>
              </w:rPr>
              <w:t>完成了第一阶段</w:t>
            </w:r>
            <w:r>
              <w:rPr>
                <w:rFonts w:hint="eastAsia" w:ascii="宋体" w:hAnsi="宋体" w:cs="宋体"/>
                <w:color w:val="000000"/>
                <w:kern w:val="0"/>
                <w:szCs w:val="21"/>
              </w:rPr>
              <w:t>施工</w:t>
            </w:r>
            <w:r>
              <w:rPr>
                <w:rFonts w:ascii="宋体" w:hAnsi="宋体" w:cs="宋体"/>
                <w:color w:val="000000"/>
                <w:kern w:val="0"/>
                <w:szCs w:val="21"/>
              </w:rPr>
              <w:t>任务</w:t>
            </w: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成本目标</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锅炉房项目预算控制金额</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423.013219</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423.013219</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9</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9</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配电室项目</w:t>
            </w:r>
            <w:r>
              <w:rPr>
                <w:rFonts w:ascii="宋体" w:hAnsi="宋体" w:cs="宋体"/>
                <w:color w:val="000000"/>
                <w:kern w:val="0"/>
                <w:szCs w:val="21"/>
              </w:rPr>
              <w:t>预算控制金额</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360.67</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360.67</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9</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9</w:t>
            </w:r>
          </w:p>
        </w:tc>
        <w:tc>
          <w:tcPr>
            <w:tcW w:w="90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restart"/>
            <w:tcBorders>
              <w:top w:val="nil"/>
              <w:left w:val="nil"/>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时效指标</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完成招标</w:t>
            </w:r>
            <w:r>
              <w:rPr>
                <w:rFonts w:ascii="宋体" w:hAnsi="宋体" w:cs="宋体"/>
                <w:color w:val="000000"/>
                <w:kern w:val="0"/>
                <w:szCs w:val="21"/>
              </w:rPr>
              <w:t>工作及签订合同</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10</w:t>
            </w:r>
            <w:r>
              <w:rPr>
                <w:rFonts w:hint="eastAsia" w:ascii="宋体" w:hAnsi="宋体" w:cs="宋体"/>
                <w:color w:val="000000"/>
                <w:kern w:val="0"/>
                <w:szCs w:val="21"/>
              </w:rPr>
              <w:t>月份</w:t>
            </w:r>
          </w:p>
        </w:tc>
        <w:tc>
          <w:tcPr>
            <w:tcW w:w="143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ascii="宋体" w:hAnsi="宋体" w:cs="宋体"/>
                <w:color w:val="000000"/>
                <w:kern w:val="0"/>
                <w:szCs w:val="21"/>
              </w:rPr>
              <w:t>10</w:t>
            </w:r>
            <w:r>
              <w:rPr>
                <w:rFonts w:hint="eastAsia" w:ascii="宋体" w:hAnsi="宋体" w:cs="宋体"/>
                <w:color w:val="000000"/>
                <w:kern w:val="0"/>
                <w:szCs w:val="21"/>
              </w:rPr>
              <w:t>月份</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6</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6</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left w:val="nil"/>
              <w:right w:val="single" w:color="auto" w:sz="4" w:space="0"/>
            </w:tcBorders>
            <w:shd w:val="clear" w:color="auto" w:fill="auto"/>
            <w:vAlign w:val="center"/>
          </w:tcPr>
          <w:p>
            <w:pPr>
              <w:widowControl/>
              <w:jc w:val="center"/>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完成</w:t>
            </w:r>
            <w:r>
              <w:rPr>
                <w:rFonts w:ascii="宋体" w:hAnsi="宋体" w:cs="宋体"/>
                <w:color w:val="000000"/>
                <w:kern w:val="0"/>
                <w:szCs w:val="21"/>
              </w:rPr>
              <w:t>方案制定和前期准备工作</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3</w:t>
            </w:r>
            <w:r>
              <w:rPr>
                <w:rFonts w:hint="eastAsia" w:ascii="宋体" w:hAnsi="宋体" w:cs="宋体"/>
                <w:color w:val="000000"/>
                <w:kern w:val="0"/>
                <w:szCs w:val="21"/>
              </w:rPr>
              <w:t>月份</w:t>
            </w:r>
          </w:p>
        </w:tc>
        <w:tc>
          <w:tcPr>
            <w:tcW w:w="143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3月份</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6</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6</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设备</w:t>
            </w:r>
            <w:r>
              <w:rPr>
                <w:rFonts w:ascii="宋体" w:hAnsi="宋体" w:cs="宋体"/>
                <w:color w:val="000000"/>
                <w:kern w:val="0"/>
                <w:szCs w:val="21"/>
              </w:rPr>
              <w:t>采购到位、安装、试运行、培训</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11</w:t>
            </w:r>
            <w:r>
              <w:rPr>
                <w:rFonts w:hint="eastAsia" w:ascii="宋体" w:hAnsi="宋体" w:cs="宋体"/>
                <w:color w:val="000000"/>
                <w:kern w:val="0"/>
                <w:szCs w:val="21"/>
              </w:rPr>
              <w:t>月份</w:t>
            </w:r>
          </w:p>
        </w:tc>
        <w:tc>
          <w:tcPr>
            <w:tcW w:w="143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12月份</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6</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4</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本项目</w:t>
            </w:r>
            <w:r>
              <w:rPr>
                <w:rFonts w:ascii="宋体" w:hAnsi="宋体" w:cs="宋体"/>
                <w:color w:val="000000"/>
                <w:kern w:val="0"/>
                <w:szCs w:val="21"/>
              </w:rPr>
              <w:t>为两年期项目，</w:t>
            </w:r>
            <w:r>
              <w:rPr>
                <w:rFonts w:hint="eastAsia" w:ascii="宋体" w:hAnsi="宋体" w:cs="宋体"/>
                <w:color w:val="000000"/>
                <w:kern w:val="0"/>
                <w:szCs w:val="21"/>
              </w:rPr>
              <w:t>2022年度</w:t>
            </w:r>
            <w:r>
              <w:rPr>
                <w:rFonts w:ascii="宋体" w:hAnsi="宋体" w:cs="宋体"/>
                <w:color w:val="000000"/>
                <w:kern w:val="0"/>
                <w:szCs w:val="21"/>
              </w:rPr>
              <w:t>完成了第一阶段</w:t>
            </w:r>
            <w:r>
              <w:rPr>
                <w:rFonts w:hint="eastAsia" w:ascii="宋体" w:hAnsi="宋体" w:cs="宋体"/>
                <w:color w:val="000000"/>
                <w:kern w:val="0"/>
                <w:szCs w:val="21"/>
              </w:rPr>
              <w:t>施工</w:t>
            </w:r>
            <w:r>
              <w:rPr>
                <w:rFonts w:ascii="宋体" w:hAnsi="宋体" w:cs="宋体"/>
                <w:color w:val="000000"/>
                <w:kern w:val="0"/>
                <w:szCs w:val="21"/>
              </w:rPr>
              <w:t>任务</w:t>
            </w: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restart"/>
            <w:tcBorders>
              <w:left w:val="nil"/>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质量</w:t>
            </w:r>
            <w:r>
              <w:rPr>
                <w:rFonts w:ascii="宋体" w:hAnsi="宋体" w:cs="宋体"/>
                <w:color w:val="000000"/>
                <w:kern w:val="0"/>
                <w:szCs w:val="21"/>
              </w:rPr>
              <w:t>指标</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《GB 50041-2020 锅炉房设计规范》</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优良</w:t>
            </w:r>
            <w:r>
              <w:rPr>
                <w:rFonts w:ascii="宋体" w:hAnsi="宋体" w:cs="宋体"/>
                <w:color w:val="000000"/>
                <w:kern w:val="0"/>
                <w:szCs w:val="21"/>
              </w:rPr>
              <w:t>中</w:t>
            </w:r>
            <w:r>
              <w:rPr>
                <w:rFonts w:hint="eastAsia" w:ascii="宋体" w:hAnsi="宋体" w:cs="宋体"/>
                <w:color w:val="000000"/>
                <w:kern w:val="0"/>
                <w:szCs w:val="21"/>
              </w:rPr>
              <w:t>低</w:t>
            </w:r>
            <w:r>
              <w:rPr>
                <w:rFonts w:ascii="宋体" w:hAnsi="宋体" w:cs="宋体"/>
                <w:color w:val="000000"/>
                <w:kern w:val="0"/>
                <w:szCs w:val="21"/>
              </w:rPr>
              <w:t>差</w:t>
            </w:r>
          </w:p>
        </w:tc>
        <w:tc>
          <w:tcPr>
            <w:tcW w:w="143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优</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4</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4</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left w:val="nil"/>
              <w:right w:val="single" w:color="auto" w:sz="4" w:space="0"/>
            </w:tcBorders>
            <w:shd w:val="clear" w:color="auto" w:fill="auto"/>
            <w:vAlign w:val="center"/>
          </w:tcPr>
          <w:p>
            <w:pPr>
              <w:widowControl/>
              <w:jc w:val="center"/>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《锅炉房安全技术规程TSG11-2020》</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优良</w:t>
            </w:r>
            <w:r>
              <w:rPr>
                <w:rFonts w:ascii="宋体" w:hAnsi="宋体" w:cs="宋体"/>
                <w:color w:val="000000"/>
                <w:kern w:val="0"/>
                <w:szCs w:val="21"/>
              </w:rPr>
              <w:t>中</w:t>
            </w:r>
            <w:r>
              <w:rPr>
                <w:rFonts w:hint="eastAsia" w:ascii="宋体" w:hAnsi="宋体" w:cs="宋体"/>
                <w:color w:val="000000"/>
                <w:kern w:val="0"/>
                <w:szCs w:val="21"/>
              </w:rPr>
              <w:t>低</w:t>
            </w:r>
            <w:r>
              <w:rPr>
                <w:rFonts w:ascii="宋体" w:hAnsi="宋体" w:cs="宋体"/>
                <w:color w:val="000000"/>
                <w:kern w:val="0"/>
                <w:szCs w:val="21"/>
              </w:rPr>
              <w:t>差</w:t>
            </w:r>
          </w:p>
        </w:tc>
        <w:tc>
          <w:tcPr>
            <w:tcW w:w="143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优</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4</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4</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left w:val="nil"/>
              <w:right w:val="single" w:color="auto" w:sz="4" w:space="0"/>
            </w:tcBorders>
            <w:shd w:val="clear" w:color="auto" w:fill="auto"/>
            <w:vAlign w:val="center"/>
          </w:tcPr>
          <w:p>
            <w:pPr>
              <w:widowControl/>
              <w:jc w:val="center"/>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《特种设备使用管理规则TSG08-2017》</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优良</w:t>
            </w:r>
            <w:r>
              <w:rPr>
                <w:rFonts w:ascii="宋体" w:hAnsi="宋体" w:cs="宋体"/>
                <w:color w:val="000000"/>
                <w:kern w:val="0"/>
                <w:szCs w:val="21"/>
              </w:rPr>
              <w:t>中</w:t>
            </w:r>
            <w:r>
              <w:rPr>
                <w:rFonts w:hint="eastAsia" w:ascii="宋体" w:hAnsi="宋体" w:cs="宋体"/>
                <w:color w:val="000000"/>
                <w:kern w:val="0"/>
                <w:szCs w:val="21"/>
              </w:rPr>
              <w:t>低</w:t>
            </w:r>
            <w:r>
              <w:rPr>
                <w:rFonts w:ascii="宋体" w:hAnsi="宋体" w:cs="宋体"/>
                <w:color w:val="000000"/>
                <w:kern w:val="0"/>
                <w:szCs w:val="21"/>
              </w:rPr>
              <w:t>差</w:t>
            </w:r>
          </w:p>
        </w:tc>
        <w:tc>
          <w:tcPr>
            <w:tcW w:w="143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优</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4</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4</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《固定污染源监测点位设置技术规范DB11/1195-2015》</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优良</w:t>
            </w:r>
            <w:r>
              <w:rPr>
                <w:rFonts w:ascii="宋体" w:hAnsi="宋体" w:cs="宋体"/>
                <w:color w:val="000000"/>
                <w:kern w:val="0"/>
                <w:szCs w:val="21"/>
              </w:rPr>
              <w:t>中</w:t>
            </w:r>
            <w:r>
              <w:rPr>
                <w:rFonts w:hint="eastAsia" w:ascii="宋体" w:hAnsi="宋体" w:cs="宋体"/>
                <w:color w:val="000000"/>
                <w:kern w:val="0"/>
                <w:szCs w:val="21"/>
              </w:rPr>
              <w:t>低</w:t>
            </w:r>
            <w:r>
              <w:rPr>
                <w:rFonts w:ascii="宋体" w:hAnsi="宋体" w:cs="宋体"/>
                <w:color w:val="000000"/>
                <w:kern w:val="0"/>
                <w:szCs w:val="21"/>
              </w:rPr>
              <w:t>差</w:t>
            </w:r>
          </w:p>
        </w:tc>
        <w:tc>
          <w:tcPr>
            <w:tcW w:w="143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优</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3</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3</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restart"/>
            <w:tcBorders>
              <w:top w:val="nil"/>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效益指标</w:t>
            </w:r>
          </w:p>
        </w:tc>
        <w:tc>
          <w:tcPr>
            <w:tcW w:w="1699"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社会效益</w:t>
            </w:r>
            <w:r>
              <w:rPr>
                <w:rFonts w:hint="eastAsia" w:ascii="宋体" w:hAnsi="宋体" w:cs="宋体"/>
                <w:color w:val="000000"/>
                <w:kern w:val="0"/>
                <w:szCs w:val="21"/>
              </w:rPr>
              <w:br w:type="textWrapping"/>
            </w:r>
            <w:r>
              <w:rPr>
                <w:rFonts w:hint="eastAsia" w:ascii="宋体" w:hAnsi="宋体" w:cs="宋体"/>
                <w:color w:val="000000"/>
                <w:kern w:val="0"/>
                <w:szCs w:val="21"/>
              </w:rPr>
              <w:t>指标</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锅炉房设备能耗降低</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r>
              <w:rPr>
                <w:rFonts w:ascii="宋体" w:hAnsi="宋体" w:cs="宋体"/>
                <w:color w:val="000000"/>
                <w:kern w:val="0"/>
                <w:szCs w:val="21"/>
              </w:rPr>
              <w:t>%</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5%</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4</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4</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锅炉</w:t>
            </w:r>
            <w:r>
              <w:rPr>
                <w:rFonts w:ascii="宋体" w:hAnsi="宋体" w:cs="宋体"/>
                <w:color w:val="000000"/>
                <w:kern w:val="0"/>
                <w:szCs w:val="21"/>
              </w:rPr>
              <w:t>烟气排放达标率</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100%</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100</w:t>
            </w:r>
            <w:r>
              <w:rPr>
                <w:rFonts w:hint="eastAsia" w:ascii="宋体" w:hAnsi="宋体" w:cs="宋体"/>
                <w:color w:val="000000"/>
                <w:kern w:val="0"/>
                <w:szCs w:val="21"/>
              </w:rPr>
              <w:t>%</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3</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3</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锅炉燃烧</w:t>
            </w:r>
            <w:r>
              <w:rPr>
                <w:rFonts w:ascii="宋体" w:hAnsi="宋体" w:cs="宋体"/>
                <w:color w:val="000000"/>
                <w:kern w:val="0"/>
                <w:szCs w:val="21"/>
              </w:rPr>
              <w:t>效率提高</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r>
              <w:rPr>
                <w:rFonts w:ascii="宋体" w:hAnsi="宋体" w:cs="宋体"/>
                <w:color w:val="000000"/>
                <w:kern w:val="0"/>
                <w:szCs w:val="21"/>
              </w:rPr>
              <w:t>%</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0</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4</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0</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本年度</w:t>
            </w:r>
            <w:r>
              <w:rPr>
                <w:rFonts w:ascii="宋体" w:hAnsi="宋体" w:cs="宋体"/>
                <w:color w:val="000000"/>
                <w:kern w:val="0"/>
                <w:szCs w:val="21"/>
              </w:rPr>
              <w:t>未进行锅炉设备的更换。</w:t>
            </w: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锅炉房</w:t>
            </w:r>
            <w:r>
              <w:rPr>
                <w:rFonts w:ascii="宋体" w:hAnsi="宋体" w:cs="宋体"/>
                <w:color w:val="000000"/>
                <w:kern w:val="0"/>
                <w:szCs w:val="21"/>
              </w:rPr>
              <w:t>安全隐患发生率</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9</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9</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生态</w:t>
            </w:r>
            <w:r>
              <w:rPr>
                <w:rFonts w:ascii="宋体" w:hAnsi="宋体" w:cs="宋体"/>
                <w:color w:val="000000"/>
                <w:kern w:val="0"/>
                <w:szCs w:val="21"/>
              </w:rPr>
              <w:t>效益指标</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《锅炉大气污染物排放标准DB11/139&amp;mdash;2015》</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优良</w:t>
            </w:r>
            <w:r>
              <w:rPr>
                <w:rFonts w:ascii="宋体" w:hAnsi="宋体" w:cs="宋体"/>
                <w:color w:val="000000"/>
                <w:kern w:val="0"/>
                <w:szCs w:val="21"/>
              </w:rPr>
              <w:t>中</w:t>
            </w:r>
            <w:r>
              <w:rPr>
                <w:rFonts w:hint="eastAsia" w:ascii="宋体" w:hAnsi="宋体" w:cs="宋体"/>
                <w:color w:val="000000"/>
                <w:kern w:val="0"/>
                <w:szCs w:val="21"/>
              </w:rPr>
              <w:t>低</w:t>
            </w:r>
            <w:r>
              <w:rPr>
                <w:rFonts w:ascii="宋体" w:hAnsi="宋体" w:cs="宋体"/>
                <w:color w:val="000000"/>
                <w:kern w:val="0"/>
                <w:szCs w:val="21"/>
              </w:rPr>
              <w:t>差</w:t>
            </w:r>
          </w:p>
        </w:tc>
        <w:tc>
          <w:tcPr>
            <w:tcW w:w="143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良</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4</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3</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本年度</w:t>
            </w:r>
            <w:r>
              <w:rPr>
                <w:rFonts w:ascii="宋体" w:hAnsi="宋体" w:cs="宋体"/>
                <w:color w:val="000000"/>
                <w:kern w:val="0"/>
                <w:szCs w:val="21"/>
              </w:rPr>
              <w:t>未</w:t>
            </w:r>
            <w:r>
              <w:rPr>
                <w:rFonts w:hint="eastAsia" w:ascii="宋体" w:hAnsi="宋体" w:cs="宋体"/>
                <w:color w:val="000000"/>
                <w:kern w:val="0"/>
                <w:szCs w:val="21"/>
              </w:rPr>
              <w:t>进行</w:t>
            </w:r>
            <w:r>
              <w:rPr>
                <w:rFonts w:ascii="宋体" w:hAnsi="宋体" w:cs="宋体"/>
                <w:color w:val="000000"/>
                <w:kern w:val="0"/>
                <w:szCs w:val="21"/>
              </w:rPr>
              <w:t>锅炉设备的更新</w:t>
            </w: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69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可持续</w:t>
            </w:r>
            <w:r>
              <w:rPr>
                <w:rFonts w:ascii="宋体" w:hAnsi="宋体" w:cs="宋体"/>
                <w:color w:val="000000"/>
                <w:kern w:val="0"/>
                <w:szCs w:val="21"/>
              </w:rPr>
              <w:t>影响指标</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kern w:val="0"/>
                <w:sz w:val="20"/>
                <w:szCs w:val="20"/>
              </w:rPr>
            </w:pPr>
            <w:r>
              <w:rPr>
                <w:rFonts w:hint="eastAsia"/>
                <w:sz w:val="20"/>
                <w:szCs w:val="20"/>
              </w:rPr>
              <w:t>锅炉</w:t>
            </w:r>
            <w:r>
              <w:rPr>
                <w:sz w:val="20"/>
                <w:szCs w:val="20"/>
              </w:rPr>
              <w:t>设备</w:t>
            </w:r>
            <w:r>
              <w:rPr>
                <w:rFonts w:hint="eastAsia"/>
                <w:sz w:val="20"/>
                <w:szCs w:val="20"/>
              </w:rPr>
              <w:t>更新工程可持续使用年限</w:t>
            </w:r>
          </w:p>
          <w:p>
            <w:pPr>
              <w:widowControl/>
              <w:jc w:val="left"/>
              <w:rPr>
                <w:rFonts w:ascii="宋体" w:hAnsi="宋体" w:cs="宋体"/>
                <w:color w:val="000000"/>
                <w:kern w:val="0"/>
                <w:szCs w:val="21"/>
              </w:rPr>
            </w:pP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≥10年</w:t>
            </w:r>
          </w:p>
        </w:tc>
        <w:tc>
          <w:tcPr>
            <w:tcW w:w="143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5</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5</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465" w:hRule="atLeast"/>
          <w:jc w:val="center"/>
        </w:trPr>
        <w:tc>
          <w:tcPr>
            <w:tcW w:w="42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p>
        </w:tc>
        <w:tc>
          <w:tcPr>
            <w:tcW w:w="100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满意度</w:t>
            </w:r>
            <w:r>
              <w:rPr>
                <w:rFonts w:hint="eastAsia" w:ascii="宋体" w:hAnsi="宋体" w:cs="宋体"/>
                <w:color w:val="000000"/>
                <w:kern w:val="0"/>
                <w:szCs w:val="21"/>
              </w:rPr>
              <w:br w:type="textWrapping"/>
            </w:r>
            <w:r>
              <w:rPr>
                <w:rFonts w:hint="eastAsia" w:ascii="宋体" w:hAnsi="宋体" w:cs="宋体"/>
                <w:color w:val="000000"/>
                <w:kern w:val="0"/>
                <w:szCs w:val="21"/>
              </w:rPr>
              <w:t>指标</w:t>
            </w:r>
          </w:p>
        </w:tc>
        <w:tc>
          <w:tcPr>
            <w:tcW w:w="169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服务对象满意度标</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职工满意度</w:t>
            </w:r>
          </w:p>
        </w:tc>
        <w:tc>
          <w:tcPr>
            <w:tcW w:w="15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满意</w:t>
            </w:r>
            <w:r>
              <w:rPr>
                <w:rFonts w:ascii="宋体" w:hAnsi="宋体" w:cs="宋体"/>
                <w:color w:val="000000"/>
                <w:kern w:val="0"/>
                <w:szCs w:val="21"/>
              </w:rPr>
              <w:t>度</w:t>
            </w:r>
            <w:r>
              <w:rPr>
                <w:rFonts w:hint="eastAsia" w:ascii="宋体" w:hAnsi="宋体" w:cs="宋体"/>
                <w:color w:val="000000"/>
                <w:kern w:val="0"/>
                <w:szCs w:val="21"/>
              </w:rPr>
              <w:t>≥</w:t>
            </w:r>
            <w:r>
              <w:rPr>
                <w:rFonts w:ascii="宋体" w:hAnsi="宋体" w:cs="宋体"/>
                <w:color w:val="000000"/>
                <w:kern w:val="0"/>
                <w:szCs w:val="21"/>
              </w:rPr>
              <w:t>85</w:t>
            </w:r>
            <w:r>
              <w:rPr>
                <w:rFonts w:hint="eastAsia" w:ascii="宋体" w:hAnsi="宋体" w:cs="宋体"/>
                <w:color w:val="000000"/>
                <w:kern w:val="0"/>
                <w:szCs w:val="21"/>
              </w:rPr>
              <w:t>%</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95%</w:t>
            </w:r>
          </w:p>
        </w:tc>
        <w:tc>
          <w:tcPr>
            <w:tcW w:w="5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4</w:t>
            </w:r>
          </w:p>
        </w:tc>
        <w:tc>
          <w:tcPr>
            <w:tcW w:w="4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Cs w:val="21"/>
              </w:rPr>
            </w:pPr>
            <w:r>
              <w:rPr>
                <w:rFonts w:ascii="宋体" w:hAnsi="宋体" w:cs="宋体"/>
                <w:color w:val="000000"/>
                <w:kern w:val="0"/>
                <w:szCs w:val="21"/>
              </w:rPr>
              <w:t>4</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465" w:hRule="atLeast"/>
          <w:jc w:val="center"/>
        </w:trPr>
        <w:tc>
          <w:tcPr>
            <w:tcW w:w="805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总分</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100</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Cs w:val="21"/>
              </w:rPr>
              <w:t>92</w:t>
            </w:r>
          </w:p>
        </w:tc>
        <w:tc>
          <w:tcPr>
            <w:tcW w:w="907"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iMTFhYzYwODJjMTRhZmNmOGZhOGExNDAzZWNlZmQifQ=="/>
  </w:docVars>
  <w:rsids>
    <w:rsidRoot w:val="73F60E05"/>
    <w:rsid w:val="00066F58"/>
    <w:rsid w:val="000F46B1"/>
    <w:rsid w:val="003112EC"/>
    <w:rsid w:val="003C3003"/>
    <w:rsid w:val="00490D38"/>
    <w:rsid w:val="004F6361"/>
    <w:rsid w:val="005522AD"/>
    <w:rsid w:val="006938EB"/>
    <w:rsid w:val="006A1932"/>
    <w:rsid w:val="007361ED"/>
    <w:rsid w:val="00796E4D"/>
    <w:rsid w:val="00B70F40"/>
    <w:rsid w:val="00CB5D19"/>
    <w:rsid w:val="00DA0633"/>
    <w:rsid w:val="00DB0399"/>
    <w:rsid w:val="00DF20D4"/>
    <w:rsid w:val="00F83778"/>
    <w:rsid w:val="1A9A8291"/>
    <w:rsid w:val="73F60E05"/>
    <w:rsid w:val="7C4B1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eastAsia="宋体" w:cs="Times New Roman"/>
      <w:kern w:val="2"/>
      <w:sz w:val="18"/>
      <w:szCs w:val="18"/>
    </w:rPr>
  </w:style>
  <w:style w:type="character" w:customStyle="1" w:styleId="7">
    <w:name w:val="页脚 Char"/>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241</Words>
  <Characters>1376</Characters>
  <Lines>11</Lines>
  <Paragraphs>3</Paragraphs>
  <TotalTime>69</TotalTime>
  <ScaleCrop>false</ScaleCrop>
  <LinksUpToDate>false</LinksUpToDate>
  <CharactersWithSpaces>1614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2023-05-11T14:58:00Z</dcterms:created>
  <dc:creator>fzdmark</dc:creator>
  <cp:lastModifiedBy>cm</cp:lastModifiedBy>
  <dcterms:modified xsi:type="dcterms:W3CDTF">2023-06-08T10:09:33Z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2456AFF22B5B4DC0A7243175041A8C65</vt:lpwstr>
  </property>
</Properties>
</file>