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仿宋_GB2312" w:eastAsia="黑体"/>
          <w:sz w:val="32"/>
          <w:szCs w:val="32"/>
          <w:lang w:eastAsia="zh-CN"/>
        </w:rPr>
      </w:pPr>
      <w:r>
        <w:rPr>
          <w:rFonts w:hint="eastAsia" w:ascii="黑体" w:hAnsi="黑体" w:eastAsia="黑体"/>
          <w:sz w:val="32"/>
          <w:szCs w:val="32"/>
        </w:rPr>
        <w:t>附件</w:t>
      </w:r>
      <w:r>
        <w:rPr>
          <w:rFonts w:hint="eastAsia" w:ascii="黑体" w:hAnsi="黑体" w:eastAsia="黑体"/>
          <w:sz w:val="32"/>
          <w:szCs w:val="32"/>
          <w:lang w:val="en-US" w:eastAsia="zh-CN"/>
        </w:rPr>
        <w:t>2</w:t>
      </w:r>
    </w:p>
    <w:tbl>
      <w:tblPr>
        <w:tblStyle w:val="5"/>
        <w:tblW w:w="4988" w:type="pct"/>
        <w:jc w:val="center"/>
        <w:tblLayout w:type="fixed"/>
        <w:tblCellMar>
          <w:top w:w="0" w:type="dxa"/>
          <w:left w:w="108" w:type="dxa"/>
          <w:bottom w:w="0" w:type="dxa"/>
          <w:right w:w="108" w:type="dxa"/>
        </w:tblCellMar>
      </w:tblPr>
      <w:tblGrid>
        <w:gridCol w:w="1001"/>
        <w:gridCol w:w="901"/>
        <w:gridCol w:w="1207"/>
        <w:gridCol w:w="1938"/>
        <w:gridCol w:w="2178"/>
        <w:gridCol w:w="1783"/>
        <w:gridCol w:w="1355"/>
        <w:gridCol w:w="451"/>
        <w:gridCol w:w="569"/>
        <w:gridCol w:w="740"/>
        <w:gridCol w:w="958"/>
        <w:gridCol w:w="1059"/>
      </w:tblGrid>
      <w:tr>
        <w:tblPrEx>
          <w:tblCellMar>
            <w:top w:w="0" w:type="dxa"/>
            <w:left w:w="108" w:type="dxa"/>
            <w:bottom w:w="0" w:type="dxa"/>
            <w:right w:w="108" w:type="dxa"/>
          </w:tblCellMar>
        </w:tblPrEx>
        <w:trPr>
          <w:trHeight w:val="440" w:hRule="exact"/>
          <w:jc w:val="center"/>
        </w:trPr>
        <w:tc>
          <w:tcPr>
            <w:tcW w:w="5000" w:type="pct"/>
            <w:gridSpan w:val="12"/>
            <w:tcBorders>
              <w:top w:val="nil"/>
              <w:left w:val="nil"/>
              <w:bottom w:val="nil"/>
              <w:right w:val="nil"/>
            </w:tcBorders>
            <w:noWrap w:val="0"/>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5000" w:type="pct"/>
            <w:gridSpan w:val="12"/>
            <w:tcBorders>
              <w:top w:val="nil"/>
              <w:left w:val="nil"/>
              <w:bottom w:val="nil"/>
              <w:right w:val="nil"/>
            </w:tcBorders>
            <w:noWrap w:val="0"/>
            <w:vAlign w:val="top"/>
          </w:tcPr>
          <w:p>
            <w:pPr>
              <w:widowControl/>
              <w:jc w:val="center"/>
              <w:rPr>
                <w:rFonts w:ascii="宋体" w:hAnsi="宋体" w:cs="宋体"/>
                <w:kern w:val="0"/>
                <w:sz w:val="22"/>
              </w:rPr>
            </w:pPr>
            <w:r>
              <w:rPr>
                <w:rFonts w:hint="eastAsia" w:ascii="宋体" w:hAnsi="宋体" w:cs="宋体"/>
                <w:kern w:val="0"/>
                <w:sz w:val="22"/>
              </w:rPr>
              <w:t>（</w:t>
            </w:r>
            <w:r>
              <w:rPr>
                <w:rFonts w:hint="eastAsia" w:ascii="宋体" w:hAnsi="宋体" w:cs="宋体"/>
                <w:kern w:val="0"/>
                <w:sz w:val="22"/>
                <w:lang w:val="en-US" w:eastAsia="zh-CN"/>
              </w:rPr>
              <w:t>2023</w:t>
            </w:r>
            <w:r>
              <w:rPr>
                <w:rFonts w:hint="eastAsia" w:ascii="宋体" w:hAnsi="宋体" w:cs="宋体"/>
                <w:kern w:val="0"/>
                <w:sz w:val="22"/>
              </w:rPr>
              <w:t>年度）</w:t>
            </w:r>
          </w:p>
        </w:tc>
      </w:tr>
      <w:tr>
        <w:tblPrEx>
          <w:tblCellMar>
            <w:top w:w="0" w:type="dxa"/>
            <w:left w:w="108" w:type="dxa"/>
            <w:bottom w:w="0" w:type="dxa"/>
            <w:right w:w="108" w:type="dxa"/>
          </w:tblCellMar>
        </w:tblPrEx>
        <w:trPr>
          <w:trHeight w:val="291" w:hRule="exact"/>
          <w:jc w:val="center"/>
        </w:trPr>
        <w:tc>
          <w:tcPr>
            <w:tcW w:w="672" w:type="pct"/>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4327" w:type="pct"/>
            <w:gridSpan w:val="10"/>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回龙观医院医学学科发展</w:t>
            </w:r>
          </w:p>
        </w:tc>
      </w:tr>
      <w:tr>
        <w:tblPrEx>
          <w:tblCellMar>
            <w:top w:w="0" w:type="dxa"/>
            <w:left w:w="108" w:type="dxa"/>
            <w:bottom w:w="0" w:type="dxa"/>
            <w:right w:w="108" w:type="dxa"/>
          </w:tblCellMar>
        </w:tblPrEx>
        <w:trPr>
          <w:trHeight w:val="291" w:hRule="exact"/>
          <w:jc w:val="center"/>
        </w:trPr>
        <w:tc>
          <w:tcPr>
            <w:tcW w:w="672" w:type="pct"/>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2512" w:type="pct"/>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北京市医院管理中心</w:t>
            </w:r>
          </w:p>
        </w:tc>
        <w:tc>
          <w:tcPr>
            <w:tcW w:w="479" w:type="pct"/>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实施单位</w:t>
            </w:r>
          </w:p>
        </w:tc>
        <w:tc>
          <w:tcPr>
            <w:tcW w:w="1335" w:type="pct"/>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北京回龙观医院</w:t>
            </w:r>
          </w:p>
        </w:tc>
      </w:tr>
      <w:tr>
        <w:tblPrEx>
          <w:tblCellMar>
            <w:top w:w="0" w:type="dxa"/>
            <w:left w:w="108" w:type="dxa"/>
            <w:bottom w:w="0" w:type="dxa"/>
            <w:right w:w="108" w:type="dxa"/>
          </w:tblCellMar>
        </w:tblPrEx>
        <w:trPr>
          <w:trHeight w:val="291" w:hRule="exact"/>
          <w:jc w:val="center"/>
        </w:trPr>
        <w:tc>
          <w:tcPr>
            <w:tcW w:w="672" w:type="pct"/>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2512" w:type="pct"/>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童永胜、王志仁、陈景旭</w:t>
            </w:r>
          </w:p>
        </w:tc>
        <w:tc>
          <w:tcPr>
            <w:tcW w:w="479" w:type="pct"/>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联系电话</w:t>
            </w:r>
          </w:p>
        </w:tc>
        <w:tc>
          <w:tcPr>
            <w:tcW w:w="1335" w:type="pct"/>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83024390</w:t>
            </w:r>
          </w:p>
        </w:tc>
      </w:tr>
      <w:tr>
        <w:tblPrEx>
          <w:tblCellMar>
            <w:top w:w="0" w:type="dxa"/>
            <w:left w:w="108" w:type="dxa"/>
            <w:bottom w:w="0" w:type="dxa"/>
            <w:right w:w="108" w:type="dxa"/>
          </w:tblCellMar>
        </w:tblPrEx>
        <w:trPr>
          <w:trHeight w:val="644" w:hRule="exact"/>
          <w:jc w:val="center"/>
        </w:trPr>
        <w:tc>
          <w:tcPr>
            <w:tcW w:w="672" w:type="pct"/>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112"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770"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630"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479"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622" w:type="pct"/>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338" w:type="pc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374"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327" w:hRule="exact"/>
          <w:jc w:val="center"/>
        </w:trPr>
        <w:tc>
          <w:tcPr>
            <w:tcW w:w="672" w:type="pct"/>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bookmarkStart w:id="0" w:name="_GoBack" w:colFirst="5" w:colLast="8"/>
          </w:p>
        </w:tc>
        <w:tc>
          <w:tcPr>
            <w:tcW w:w="1112"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770"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cs="宋体"/>
                <w:kern w:val="0"/>
                <w:sz w:val="18"/>
                <w:szCs w:val="18"/>
                <w:lang w:val="en-US"/>
              </w:rPr>
            </w:pPr>
            <w:r>
              <w:rPr>
                <w:rFonts w:hint="eastAsia"/>
              </w:rPr>
              <w:t>59.09</w:t>
            </w:r>
          </w:p>
        </w:tc>
        <w:tc>
          <w:tcPr>
            <w:tcW w:w="630"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rPr>
              <w:t>59.09</w:t>
            </w:r>
          </w:p>
        </w:tc>
        <w:tc>
          <w:tcPr>
            <w:tcW w:w="47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rPr>
              <w:t>59.09</w:t>
            </w:r>
          </w:p>
        </w:tc>
        <w:tc>
          <w:tcPr>
            <w:tcW w:w="622" w:type="pct"/>
            <w:gridSpan w:val="3"/>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rPr>
            </w:pPr>
            <w:r>
              <w:rPr>
                <w:rFonts w:hint="eastAsia"/>
              </w:rPr>
              <w:t>10</w:t>
            </w:r>
          </w:p>
        </w:tc>
        <w:tc>
          <w:tcPr>
            <w:tcW w:w="338"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rPr>
            </w:pPr>
            <w:r>
              <w:rPr>
                <w:rFonts w:hint="eastAsia"/>
                <w:lang w:val="en-US" w:eastAsia="zh-CN"/>
              </w:rPr>
              <w:t>100%</w:t>
            </w:r>
          </w:p>
        </w:tc>
        <w:tc>
          <w:tcPr>
            <w:tcW w:w="374"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10</w:t>
            </w:r>
          </w:p>
        </w:tc>
      </w:tr>
      <w:tr>
        <w:tblPrEx>
          <w:tblCellMar>
            <w:top w:w="0" w:type="dxa"/>
            <w:left w:w="108" w:type="dxa"/>
            <w:bottom w:w="0" w:type="dxa"/>
            <w:right w:w="108" w:type="dxa"/>
          </w:tblCellMar>
        </w:tblPrEx>
        <w:trPr>
          <w:trHeight w:val="291" w:hRule="exact"/>
          <w:jc w:val="center"/>
        </w:trPr>
        <w:tc>
          <w:tcPr>
            <w:tcW w:w="672" w:type="pct"/>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12"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770"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rPr>
              <w:t>59.09</w:t>
            </w:r>
          </w:p>
        </w:tc>
        <w:tc>
          <w:tcPr>
            <w:tcW w:w="630"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rPr>
              <w:t>59.09</w:t>
            </w:r>
          </w:p>
        </w:tc>
        <w:tc>
          <w:tcPr>
            <w:tcW w:w="47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rPr>
              <w:t>59.09</w:t>
            </w:r>
          </w:p>
        </w:tc>
        <w:tc>
          <w:tcPr>
            <w:tcW w:w="622" w:type="pct"/>
            <w:gridSpan w:val="3"/>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rPr>
            </w:pPr>
            <w:r>
              <w:rPr>
                <w:rFonts w:hint="eastAsia"/>
              </w:rPr>
              <w:t>10</w:t>
            </w:r>
          </w:p>
        </w:tc>
        <w:tc>
          <w:tcPr>
            <w:tcW w:w="338"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rPr>
            </w:pPr>
            <w:r>
              <w:rPr>
                <w:rFonts w:hint="eastAsia"/>
                <w:lang w:val="en-US" w:eastAsia="zh-CN"/>
              </w:rPr>
              <w:t>100%</w:t>
            </w:r>
          </w:p>
        </w:tc>
        <w:tc>
          <w:tcPr>
            <w:tcW w:w="374"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rPr>
            </w:pPr>
            <w:r>
              <w:rPr>
                <w:rFonts w:hint="eastAsia"/>
                <w:lang w:val="en-US" w:eastAsia="zh-CN"/>
              </w:rPr>
              <w:t>10</w:t>
            </w:r>
          </w:p>
        </w:tc>
      </w:tr>
      <w:tr>
        <w:tblPrEx>
          <w:tblCellMar>
            <w:top w:w="0" w:type="dxa"/>
            <w:left w:w="108" w:type="dxa"/>
            <w:bottom w:w="0" w:type="dxa"/>
            <w:right w:w="108" w:type="dxa"/>
          </w:tblCellMar>
        </w:tblPrEx>
        <w:trPr>
          <w:trHeight w:val="291" w:hRule="exact"/>
          <w:jc w:val="center"/>
        </w:trPr>
        <w:tc>
          <w:tcPr>
            <w:tcW w:w="672" w:type="pct"/>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12"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770"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630"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79"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622" w:type="pct"/>
            <w:gridSpan w:val="3"/>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rPr>
            </w:pPr>
            <w:r>
              <w:rPr>
                <w:rFonts w:hint="eastAsia"/>
              </w:rPr>
              <w:t>—</w:t>
            </w:r>
          </w:p>
        </w:tc>
        <w:tc>
          <w:tcPr>
            <w:tcW w:w="338"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rPr>
            </w:pPr>
          </w:p>
        </w:tc>
        <w:tc>
          <w:tcPr>
            <w:tcW w:w="374"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rPr>
            </w:pPr>
            <w:r>
              <w:rPr>
                <w:rFonts w:hint="eastAsia"/>
              </w:rPr>
              <w:t>—</w:t>
            </w:r>
          </w:p>
        </w:tc>
      </w:tr>
      <w:bookmarkEnd w:id="0"/>
      <w:tr>
        <w:tblPrEx>
          <w:tblCellMar>
            <w:top w:w="0" w:type="dxa"/>
            <w:left w:w="108" w:type="dxa"/>
            <w:bottom w:w="0" w:type="dxa"/>
            <w:right w:w="108" w:type="dxa"/>
          </w:tblCellMar>
        </w:tblPrEx>
        <w:trPr>
          <w:trHeight w:val="291" w:hRule="exact"/>
          <w:jc w:val="center"/>
        </w:trPr>
        <w:tc>
          <w:tcPr>
            <w:tcW w:w="672" w:type="pct"/>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12"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770"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630"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79"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622" w:type="pct"/>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338" w:type="pc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74"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353" w:type="pct"/>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2831" w:type="pct"/>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1814" w:type="pct"/>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3783" w:hRule="exact"/>
          <w:jc w:val="center"/>
        </w:trPr>
        <w:tc>
          <w:tcPr>
            <w:tcW w:w="353" w:type="pct"/>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2200" w:type="pct"/>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1.童永胜：通过开展自杀预防领域临床技术研发及成果推广、心理援助热线领域培训与教学、心理危机干预领域学术交流和合作平台建设等工作，完成1项课题，开始1项课题的模型研制工作。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2、王志仁：随机双盲对照研究的末阶段：完成20例患者的入组和随访，各项评估。完成治疗随访及评估，以及数据收集、整理，被试随访和数据收集，治疗前后数据统计分析，完成随访数据统计分析和论文撰写。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3、陈景旭：开发失眠认知行为疗法（CBT-I）管理系统；完成150例受试者的入组（其中CBT-I组100例、对照组50例），采用网络化CBT-I管理系统对缓解期抑郁症（MDD）伴失眠患者进行干预，验证网络化CBT-I 对这类患者失眠的临床疗效，完成随访、数据分析和论文撰写。</w:t>
            </w:r>
          </w:p>
        </w:tc>
        <w:tc>
          <w:tcPr>
            <w:tcW w:w="2445" w:type="pct"/>
            <w:gridSpan w:val="7"/>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1.童永胜：通过组织全国年会中自杀预防和热线技术专题会、举办全国及北京市级热线技术培训班等方式促进学科建设和国内自杀预防领域的进步。依托WHO合作中心平台，参加国际自杀预防指南手册的讨论、修改和定稿。完成自杀未遂者再自杀行为的随访和危险因素研究，开始尝试基于AI的心理危机情绪识别模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2、王志仁：随机双盲对照研究的末阶段：完成20例患者的入组和随访，各项评估。完成治疗随访及评估，以及数据收集、整理，被试随访和数据收集，治疗前后数据统计分析，完成随访数据统计分析和论文撰写。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3、陈景旭：开发失眠认知行为疗法（CBT-I）管理系统；完成150例受试者的入组（其中CBT-I组100例、对照组50例），采用网络化CBT-I管理系统对缓解期抑郁症（MDD）伴失眠患者进行干预，验证网络化CBT-I 对这类患者失眠的临床疗效，完成随访、数据分析和论文撰写。</w:t>
            </w:r>
          </w:p>
        </w:tc>
      </w:tr>
      <w:tr>
        <w:tblPrEx>
          <w:tblCellMar>
            <w:top w:w="0" w:type="dxa"/>
            <w:left w:w="108" w:type="dxa"/>
            <w:bottom w:w="0" w:type="dxa"/>
            <w:right w:w="108" w:type="dxa"/>
          </w:tblCellMar>
        </w:tblPrEx>
        <w:trPr>
          <w:trHeight w:val="517" w:hRule="exact"/>
          <w:jc w:val="center"/>
        </w:trPr>
        <w:tc>
          <w:tcPr>
            <w:tcW w:w="353"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eastAsia="zh-CN"/>
              </w:rPr>
              <w:t>（</w:t>
            </w:r>
            <w:r>
              <w:rPr>
                <w:rFonts w:hint="eastAsia" w:ascii="宋体" w:hAnsi="宋体" w:cs="宋体"/>
                <w:kern w:val="0"/>
                <w:sz w:val="18"/>
                <w:szCs w:val="18"/>
                <w:lang w:val="en-US" w:eastAsia="zh-CN"/>
              </w:rPr>
              <w:t>90分</w:t>
            </w:r>
            <w:r>
              <w:rPr>
                <w:rFonts w:hint="eastAsia" w:ascii="宋体" w:hAnsi="宋体" w:cs="宋体"/>
                <w:kern w:val="0"/>
                <w:sz w:val="18"/>
                <w:szCs w:val="18"/>
                <w:lang w:eastAsia="zh-CN"/>
              </w:rPr>
              <w:t>）</w:t>
            </w:r>
          </w:p>
        </w:tc>
        <w:tc>
          <w:tcPr>
            <w:tcW w:w="318"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4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1455"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630"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638" w:type="pct"/>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201"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261"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481" w:hRule="exac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产出指标</w:t>
            </w:r>
          </w:p>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50分</w:t>
            </w:r>
          </w:p>
        </w:tc>
        <w:tc>
          <w:tcPr>
            <w:tcW w:w="426"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发表文章、著作个数，获批专利个数 </w:t>
            </w:r>
          </w:p>
        </w:tc>
        <w:tc>
          <w:tcPr>
            <w:tcW w:w="630"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8篇</w:t>
            </w:r>
          </w:p>
        </w:tc>
        <w:tc>
          <w:tcPr>
            <w:tcW w:w="638"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8篇</w:t>
            </w:r>
          </w:p>
        </w:tc>
        <w:tc>
          <w:tcPr>
            <w:tcW w:w="20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26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76" w:hRule="exac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开展国家自然科学基金面上项目</w:t>
            </w:r>
          </w:p>
        </w:tc>
        <w:tc>
          <w:tcPr>
            <w:tcW w:w="630"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1个</w:t>
            </w:r>
          </w:p>
        </w:tc>
        <w:tc>
          <w:tcPr>
            <w:tcW w:w="638" w:type="pct"/>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1个</w:t>
            </w:r>
          </w:p>
        </w:tc>
        <w:tc>
          <w:tcPr>
            <w:tcW w:w="20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26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tabs>
                <w:tab w:val="left" w:pos="487"/>
              </w:tabs>
              <w:spacing w:line="240" w:lineRule="exact"/>
              <w:jc w:val="left"/>
              <w:rPr>
                <w:rFonts w:hint="eastAsia" w:ascii="宋体" w:hAnsi="宋体" w:eastAsia="宋体" w:cs="宋体"/>
                <w:kern w:val="0"/>
                <w:sz w:val="18"/>
                <w:szCs w:val="18"/>
                <w:lang w:eastAsia="zh-CN"/>
              </w:rPr>
            </w:pPr>
          </w:p>
        </w:tc>
      </w:tr>
      <w:tr>
        <w:tblPrEx>
          <w:tblCellMar>
            <w:top w:w="0" w:type="dxa"/>
            <w:left w:w="108" w:type="dxa"/>
            <w:bottom w:w="0" w:type="dxa"/>
            <w:right w:w="108" w:type="dxa"/>
          </w:tblCellMar>
        </w:tblPrEx>
        <w:trPr>
          <w:trHeight w:val="125"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心理危机干预博士点/硕士点个数</w:t>
            </w:r>
          </w:p>
        </w:tc>
        <w:tc>
          <w:tcPr>
            <w:tcW w:w="630"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1个</w:t>
            </w:r>
          </w:p>
        </w:tc>
        <w:tc>
          <w:tcPr>
            <w:tcW w:w="638" w:type="pct"/>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1个</w:t>
            </w:r>
          </w:p>
        </w:tc>
        <w:tc>
          <w:tcPr>
            <w:tcW w:w="20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5"/>
                <w:szCs w:val="15"/>
              </w:rPr>
            </w:pPr>
            <w:r>
              <w:rPr>
                <w:rFonts w:hint="eastAsia" w:ascii="宋体" w:hAnsi="宋体" w:eastAsia="宋体" w:cs="宋体"/>
                <w:i w:val="0"/>
                <w:iCs w:val="0"/>
                <w:color w:val="000000"/>
                <w:kern w:val="0"/>
                <w:sz w:val="18"/>
                <w:szCs w:val="18"/>
                <w:u w:val="none"/>
                <w:lang w:val="en-US" w:eastAsia="zh-CN" w:bidi="ar"/>
              </w:rPr>
              <w:t>2</w:t>
            </w:r>
          </w:p>
        </w:tc>
        <w:tc>
          <w:tcPr>
            <w:tcW w:w="26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25"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形成国家级继续教育项目</w:t>
            </w:r>
          </w:p>
        </w:tc>
        <w:tc>
          <w:tcPr>
            <w:tcW w:w="630"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2个</w:t>
            </w:r>
          </w:p>
        </w:tc>
        <w:tc>
          <w:tcPr>
            <w:tcW w:w="638" w:type="pct"/>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2个</w:t>
            </w:r>
          </w:p>
        </w:tc>
        <w:tc>
          <w:tcPr>
            <w:tcW w:w="20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26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125"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开展专病治疗领域研究课题个数</w:t>
            </w:r>
          </w:p>
        </w:tc>
        <w:tc>
          <w:tcPr>
            <w:tcW w:w="630"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1个</w:t>
            </w:r>
          </w:p>
        </w:tc>
        <w:tc>
          <w:tcPr>
            <w:tcW w:w="638" w:type="pct"/>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1个</w:t>
            </w:r>
          </w:p>
        </w:tc>
        <w:tc>
          <w:tcPr>
            <w:tcW w:w="20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26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125"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完成量表评定人员的一致性培训</w:t>
            </w:r>
          </w:p>
        </w:tc>
        <w:tc>
          <w:tcPr>
            <w:tcW w:w="630"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1次</w:t>
            </w:r>
          </w:p>
        </w:tc>
        <w:tc>
          <w:tcPr>
            <w:tcW w:w="638" w:type="pct"/>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1次</w:t>
            </w:r>
          </w:p>
        </w:tc>
        <w:tc>
          <w:tcPr>
            <w:tcW w:w="20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26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125"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开发基于微信公众号的网络化CBT-I管理系统</w:t>
            </w:r>
          </w:p>
        </w:tc>
        <w:tc>
          <w:tcPr>
            <w:tcW w:w="630"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1次</w:t>
            </w:r>
          </w:p>
        </w:tc>
        <w:tc>
          <w:tcPr>
            <w:tcW w:w="638" w:type="pct"/>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1次</w:t>
            </w:r>
          </w:p>
        </w:tc>
        <w:tc>
          <w:tcPr>
            <w:tcW w:w="20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26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125"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开展国家重点专科项目</w:t>
            </w:r>
          </w:p>
        </w:tc>
        <w:tc>
          <w:tcPr>
            <w:tcW w:w="630"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1个</w:t>
            </w:r>
          </w:p>
        </w:tc>
        <w:tc>
          <w:tcPr>
            <w:tcW w:w="638" w:type="pct"/>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1个</w:t>
            </w:r>
          </w:p>
        </w:tc>
        <w:tc>
          <w:tcPr>
            <w:tcW w:w="20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w:t>
            </w:r>
          </w:p>
        </w:tc>
        <w:tc>
          <w:tcPr>
            <w:tcW w:w="26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125" w:hRule="atLeast"/>
          <w:jc w:val="center"/>
        </w:trPr>
        <w:tc>
          <w:tcPr>
            <w:tcW w:w="353" w:type="pct"/>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318" w:type="pct"/>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426" w:type="pct"/>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培养博士、硕士生个数</w:t>
            </w:r>
          </w:p>
        </w:tc>
        <w:tc>
          <w:tcPr>
            <w:tcW w:w="630"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6个</w:t>
            </w:r>
          </w:p>
        </w:tc>
        <w:tc>
          <w:tcPr>
            <w:tcW w:w="638" w:type="pct"/>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10个</w:t>
            </w:r>
          </w:p>
        </w:tc>
        <w:tc>
          <w:tcPr>
            <w:tcW w:w="20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26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51" w:hRule="exac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26"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通过专家组验收，符合临床研究标准《北京市医院管理中心“扬帆计划”任务验收通知》</w:t>
            </w:r>
          </w:p>
        </w:tc>
        <w:tc>
          <w:tcPr>
            <w:tcW w:w="630"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通过专家组验收，符合临床研究标准《北京市医院管理中心“扬帆计划”任务验收通知》</w:t>
            </w:r>
          </w:p>
        </w:tc>
        <w:tc>
          <w:tcPr>
            <w:tcW w:w="638" w:type="pct"/>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符合临床研究标准</w:t>
            </w:r>
          </w:p>
        </w:tc>
        <w:tc>
          <w:tcPr>
            <w:tcW w:w="20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26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SCI论文达到的标准/水平</w:t>
            </w:r>
          </w:p>
        </w:tc>
        <w:tc>
          <w:tcPr>
            <w:tcW w:w="630"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2.5</w:t>
            </w:r>
          </w:p>
        </w:tc>
        <w:tc>
          <w:tcPr>
            <w:tcW w:w="638" w:type="pct"/>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2.5</w:t>
            </w:r>
          </w:p>
        </w:tc>
        <w:tc>
          <w:tcPr>
            <w:tcW w:w="20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w:t>
            </w:r>
          </w:p>
        </w:tc>
        <w:tc>
          <w:tcPr>
            <w:tcW w:w="26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38"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455"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专业团队中博士人数提高比例</w:t>
            </w:r>
          </w:p>
        </w:tc>
        <w:tc>
          <w:tcPr>
            <w:tcW w:w="630"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25%</w:t>
            </w:r>
          </w:p>
        </w:tc>
        <w:tc>
          <w:tcPr>
            <w:tcW w:w="638" w:type="pct"/>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25%</w:t>
            </w:r>
          </w:p>
        </w:tc>
        <w:tc>
          <w:tcPr>
            <w:tcW w:w="20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w:t>
            </w:r>
          </w:p>
        </w:tc>
        <w:tc>
          <w:tcPr>
            <w:tcW w:w="26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639"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1455"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中文核心期刊论文达到的标准/水平</w:t>
            </w:r>
          </w:p>
        </w:tc>
        <w:tc>
          <w:tcPr>
            <w:tcW w:w="630"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达到国内先进标准/水平，影响因子1.2</w:t>
            </w:r>
          </w:p>
        </w:tc>
        <w:tc>
          <w:tcPr>
            <w:tcW w:w="638" w:type="pct"/>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达到国内先进标准/水平，影响因子1.2</w:t>
            </w:r>
          </w:p>
        </w:tc>
        <w:tc>
          <w:tcPr>
            <w:tcW w:w="20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26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138"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1455"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专业团队中正高级人数提高比例</w:t>
            </w:r>
          </w:p>
        </w:tc>
        <w:tc>
          <w:tcPr>
            <w:tcW w:w="630"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16.70%</w:t>
            </w:r>
          </w:p>
        </w:tc>
        <w:tc>
          <w:tcPr>
            <w:tcW w:w="638" w:type="pct"/>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16.70%</w:t>
            </w:r>
          </w:p>
        </w:tc>
        <w:tc>
          <w:tcPr>
            <w:tcW w:w="20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26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138" w:hRule="atLeast"/>
          <w:jc w:val="center"/>
        </w:trPr>
        <w:tc>
          <w:tcPr>
            <w:tcW w:w="353" w:type="pct"/>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318" w:type="pct"/>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426" w:type="pct"/>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1455"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热线指南成果/教材适用性/应用率</w:t>
            </w:r>
          </w:p>
        </w:tc>
        <w:tc>
          <w:tcPr>
            <w:tcW w:w="630"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20%</w:t>
            </w:r>
          </w:p>
        </w:tc>
        <w:tc>
          <w:tcPr>
            <w:tcW w:w="638" w:type="pct"/>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20%</w:t>
            </w:r>
          </w:p>
        </w:tc>
        <w:tc>
          <w:tcPr>
            <w:tcW w:w="20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26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291" w:hRule="exac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26"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1455"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完成网络化CBT-I管理系统开发</w:t>
            </w:r>
          </w:p>
        </w:tc>
        <w:tc>
          <w:tcPr>
            <w:tcW w:w="63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2023年12月前</w:t>
            </w:r>
          </w:p>
        </w:tc>
        <w:tc>
          <w:tcPr>
            <w:tcW w:w="638"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2023年12月前</w:t>
            </w:r>
          </w:p>
        </w:tc>
        <w:tc>
          <w:tcPr>
            <w:tcW w:w="20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3</w:t>
            </w:r>
          </w:p>
        </w:tc>
        <w:tc>
          <w:tcPr>
            <w:tcW w:w="26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3</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455"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完成热线来电者自杀危险程度评估的模型训练和试用</w:t>
            </w:r>
          </w:p>
        </w:tc>
        <w:tc>
          <w:tcPr>
            <w:tcW w:w="63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2023年12月前</w:t>
            </w:r>
          </w:p>
        </w:tc>
        <w:tc>
          <w:tcPr>
            <w:tcW w:w="638"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2023年12月前</w:t>
            </w:r>
          </w:p>
        </w:tc>
        <w:tc>
          <w:tcPr>
            <w:tcW w:w="20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3</w:t>
            </w:r>
          </w:p>
        </w:tc>
        <w:tc>
          <w:tcPr>
            <w:tcW w:w="26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3</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45"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455"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随机双盲对照研究的第一阶段：包括20例患者的入组和随访，并完成相应评估和实验室检测</w:t>
            </w:r>
          </w:p>
        </w:tc>
        <w:tc>
          <w:tcPr>
            <w:tcW w:w="63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2023年12月前</w:t>
            </w:r>
          </w:p>
        </w:tc>
        <w:tc>
          <w:tcPr>
            <w:tcW w:w="638"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2023年12月前</w:t>
            </w:r>
          </w:p>
        </w:tc>
        <w:tc>
          <w:tcPr>
            <w:tcW w:w="20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3</w:t>
            </w:r>
          </w:p>
        </w:tc>
        <w:tc>
          <w:tcPr>
            <w:tcW w:w="26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3</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00"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1455"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临床CRF表的印制，各种评估量表的准备，完成研究人员培训，试验药品和安慰剂的准备。</w:t>
            </w:r>
          </w:p>
        </w:tc>
        <w:tc>
          <w:tcPr>
            <w:tcW w:w="63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2023年6月前</w:t>
            </w:r>
          </w:p>
        </w:tc>
        <w:tc>
          <w:tcPr>
            <w:tcW w:w="638"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2023年6月前</w:t>
            </w:r>
          </w:p>
        </w:tc>
        <w:tc>
          <w:tcPr>
            <w:tcW w:w="20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26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100"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1455"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完成8篇论文发表</w:t>
            </w:r>
          </w:p>
        </w:tc>
        <w:tc>
          <w:tcPr>
            <w:tcW w:w="63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2023年12月前</w:t>
            </w:r>
          </w:p>
        </w:tc>
        <w:tc>
          <w:tcPr>
            <w:tcW w:w="638"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2023年12月前</w:t>
            </w:r>
          </w:p>
        </w:tc>
        <w:tc>
          <w:tcPr>
            <w:tcW w:w="20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w:t>
            </w:r>
          </w:p>
        </w:tc>
        <w:tc>
          <w:tcPr>
            <w:tcW w:w="26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100" w:hRule="atLeast"/>
          <w:jc w:val="center"/>
        </w:trPr>
        <w:tc>
          <w:tcPr>
            <w:tcW w:w="353" w:type="pct"/>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318" w:type="pct"/>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426" w:type="pct"/>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c>
          <w:tcPr>
            <w:tcW w:w="1455"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完成30例受试者入组</w:t>
            </w:r>
          </w:p>
        </w:tc>
        <w:tc>
          <w:tcPr>
            <w:tcW w:w="63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2023年5月前</w:t>
            </w:r>
          </w:p>
        </w:tc>
        <w:tc>
          <w:tcPr>
            <w:tcW w:w="638"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2023年5月前</w:t>
            </w:r>
          </w:p>
        </w:tc>
        <w:tc>
          <w:tcPr>
            <w:tcW w:w="20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w:t>
            </w:r>
          </w:p>
        </w:tc>
        <w:tc>
          <w:tcPr>
            <w:tcW w:w="26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02" w:hRule="exac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455" w:type="pct"/>
            <w:gridSpan w:val="2"/>
            <w:tcBorders>
              <w:top w:val="single" w:color="auto" w:sz="4" w:space="0"/>
              <w:left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项目总预算控制数</w:t>
            </w:r>
          </w:p>
        </w:tc>
        <w:tc>
          <w:tcPr>
            <w:tcW w:w="63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59.09万元</w:t>
            </w:r>
          </w:p>
        </w:tc>
        <w:tc>
          <w:tcPr>
            <w:tcW w:w="638"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59.09万元</w:t>
            </w:r>
          </w:p>
        </w:tc>
        <w:tc>
          <w:tcPr>
            <w:tcW w:w="20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4</w:t>
            </w:r>
          </w:p>
        </w:tc>
        <w:tc>
          <w:tcPr>
            <w:tcW w:w="26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4</w:t>
            </w:r>
          </w:p>
        </w:tc>
        <w:tc>
          <w:tcPr>
            <w:tcW w:w="713" w:type="pct"/>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31"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效益指标</w:t>
            </w:r>
          </w:p>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30分</w:t>
            </w:r>
          </w:p>
        </w:tc>
        <w:tc>
          <w:tcPr>
            <w:tcW w:w="426" w:type="pct"/>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全人群自杀率降低</w:t>
            </w:r>
          </w:p>
        </w:tc>
        <w:tc>
          <w:tcPr>
            <w:tcW w:w="630"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5%</w:t>
            </w:r>
          </w:p>
        </w:tc>
        <w:tc>
          <w:tcPr>
            <w:tcW w:w="638"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5%</w:t>
            </w:r>
          </w:p>
        </w:tc>
        <w:tc>
          <w:tcPr>
            <w:tcW w:w="20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26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41"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318" w:type="pct"/>
            <w:vMerge w:val="continue"/>
            <w:tcBorders>
              <w:left w:val="single" w:color="auto" w:sz="4" w:space="0"/>
              <w:right w:val="single" w:color="auto" w:sz="4" w:space="0"/>
            </w:tcBorders>
            <w:noWrap w:val="0"/>
            <w:vAlign w:val="center"/>
          </w:tcPr>
          <w:p>
            <w:pPr>
              <w:widowControl/>
              <w:spacing w:line="240" w:lineRule="exact"/>
              <w:jc w:val="center"/>
            </w:pPr>
          </w:p>
        </w:tc>
        <w:tc>
          <w:tcPr>
            <w:tcW w:w="426" w:type="pct"/>
            <w:vMerge w:val="continue"/>
            <w:tcBorders>
              <w:left w:val="single" w:color="auto" w:sz="4" w:space="0"/>
              <w:right w:val="single" w:color="auto" w:sz="4" w:space="0"/>
            </w:tcBorders>
            <w:noWrap w:val="0"/>
            <w:vAlign w:val="center"/>
          </w:tcPr>
          <w:p>
            <w:pPr>
              <w:widowControl/>
              <w:spacing w:line="240" w:lineRule="exact"/>
              <w:jc w:val="center"/>
            </w:pP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人工智能评估来电者自杀风险新技术模型</w:t>
            </w:r>
          </w:p>
        </w:tc>
        <w:tc>
          <w:tcPr>
            <w:tcW w:w="630"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1个</w:t>
            </w:r>
          </w:p>
        </w:tc>
        <w:tc>
          <w:tcPr>
            <w:tcW w:w="638"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1个</w:t>
            </w:r>
          </w:p>
        </w:tc>
        <w:tc>
          <w:tcPr>
            <w:tcW w:w="20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10</w:t>
            </w:r>
          </w:p>
        </w:tc>
        <w:tc>
          <w:tcPr>
            <w:tcW w:w="26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10</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pPr>
          </w:p>
        </w:tc>
      </w:tr>
      <w:tr>
        <w:tblPrEx>
          <w:tblCellMar>
            <w:top w:w="0" w:type="dxa"/>
            <w:left w:w="108" w:type="dxa"/>
            <w:bottom w:w="0" w:type="dxa"/>
            <w:right w:w="108" w:type="dxa"/>
          </w:tblCellMar>
        </w:tblPrEx>
        <w:trPr>
          <w:trHeight w:val="601" w:hRule="atLeast"/>
          <w:jc w:val="center"/>
        </w:trPr>
        <w:tc>
          <w:tcPr>
            <w:tcW w:w="353" w:type="pct"/>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pPr>
          </w:p>
        </w:tc>
        <w:tc>
          <w:tcPr>
            <w:tcW w:w="318" w:type="pct"/>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pPr>
          </w:p>
        </w:tc>
        <w:tc>
          <w:tcPr>
            <w:tcW w:w="426" w:type="pct"/>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pP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指导患者进行康复，失眠症状得到有效改善，有效率达到</w:t>
            </w:r>
          </w:p>
        </w:tc>
        <w:tc>
          <w:tcPr>
            <w:tcW w:w="630"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60%</w:t>
            </w:r>
          </w:p>
        </w:tc>
        <w:tc>
          <w:tcPr>
            <w:tcW w:w="638"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60%</w:t>
            </w:r>
          </w:p>
        </w:tc>
        <w:tc>
          <w:tcPr>
            <w:tcW w:w="20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10</w:t>
            </w:r>
          </w:p>
        </w:tc>
        <w:tc>
          <w:tcPr>
            <w:tcW w:w="26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10</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pPr>
          </w:p>
        </w:tc>
      </w:tr>
      <w:tr>
        <w:tblPrEx>
          <w:tblCellMar>
            <w:top w:w="0" w:type="dxa"/>
            <w:left w:w="108" w:type="dxa"/>
            <w:bottom w:w="0" w:type="dxa"/>
            <w:right w:w="108" w:type="dxa"/>
          </w:tblCellMar>
        </w:tblPrEx>
        <w:trPr>
          <w:trHeight w:val="203"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指标</w:t>
            </w:r>
          </w:p>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10分</w:t>
            </w:r>
          </w:p>
        </w:tc>
        <w:tc>
          <w:tcPr>
            <w:tcW w:w="426" w:type="pct"/>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4116"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院内参与人员满意度</w:t>
            </w:r>
          </w:p>
        </w:tc>
        <w:tc>
          <w:tcPr>
            <w:tcW w:w="178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≥95%</w:t>
            </w:r>
          </w:p>
        </w:tc>
        <w:tc>
          <w:tcPr>
            <w:tcW w:w="1806"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≥95%</w:t>
            </w:r>
          </w:p>
        </w:tc>
        <w:tc>
          <w:tcPr>
            <w:tcW w:w="56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74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000000"/>
                <w:kern w:val="0"/>
                <w:sz w:val="18"/>
                <w:szCs w:val="18"/>
              </w:rPr>
            </w:pPr>
          </w:p>
        </w:tc>
      </w:tr>
      <w:tr>
        <w:tblPrEx>
          <w:tblCellMar>
            <w:top w:w="0" w:type="dxa"/>
            <w:left w:w="108" w:type="dxa"/>
            <w:bottom w:w="0" w:type="dxa"/>
            <w:right w:w="108" w:type="dxa"/>
          </w:tblCellMar>
        </w:tblPrEx>
        <w:trPr>
          <w:trHeight w:val="203"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318" w:type="pct"/>
            <w:vMerge w:val="continue"/>
            <w:tcBorders>
              <w:left w:val="single" w:color="auto" w:sz="4" w:space="0"/>
              <w:right w:val="single" w:color="auto" w:sz="4" w:space="0"/>
            </w:tcBorders>
            <w:noWrap w:val="0"/>
            <w:vAlign w:val="center"/>
          </w:tcPr>
          <w:p>
            <w:pPr>
              <w:widowControl/>
              <w:spacing w:line="240" w:lineRule="exact"/>
              <w:jc w:val="center"/>
            </w:pPr>
          </w:p>
        </w:tc>
        <w:tc>
          <w:tcPr>
            <w:tcW w:w="426" w:type="pct"/>
            <w:vMerge w:val="continue"/>
            <w:tcBorders>
              <w:left w:val="single" w:color="auto" w:sz="4" w:space="0"/>
              <w:right w:val="single" w:color="auto" w:sz="4" w:space="0"/>
            </w:tcBorders>
            <w:noWrap w:val="0"/>
            <w:vAlign w:val="center"/>
          </w:tcPr>
          <w:p>
            <w:pPr>
              <w:widowControl/>
              <w:spacing w:line="240" w:lineRule="exact"/>
              <w:jc w:val="center"/>
            </w:pPr>
          </w:p>
        </w:tc>
        <w:tc>
          <w:tcPr>
            <w:tcW w:w="4116"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热线研究受试者满意度</w:t>
            </w:r>
          </w:p>
        </w:tc>
        <w:tc>
          <w:tcPr>
            <w:tcW w:w="178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≥75%</w:t>
            </w:r>
          </w:p>
        </w:tc>
        <w:tc>
          <w:tcPr>
            <w:tcW w:w="1806"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≥75%</w:t>
            </w:r>
          </w:p>
        </w:tc>
        <w:tc>
          <w:tcPr>
            <w:tcW w:w="56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3</w:t>
            </w:r>
          </w:p>
        </w:tc>
        <w:tc>
          <w:tcPr>
            <w:tcW w:w="74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3</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03"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26" w:type="pct"/>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116"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热线研究/参与人员/领导满意度</w:t>
            </w:r>
          </w:p>
        </w:tc>
        <w:tc>
          <w:tcPr>
            <w:tcW w:w="178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≥90%</w:t>
            </w:r>
          </w:p>
        </w:tc>
        <w:tc>
          <w:tcPr>
            <w:tcW w:w="1806"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≥90%</w:t>
            </w:r>
          </w:p>
        </w:tc>
        <w:tc>
          <w:tcPr>
            <w:tcW w:w="56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74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03" w:hRule="atLeast"/>
          <w:jc w:val="center"/>
        </w:trPr>
        <w:tc>
          <w:tcPr>
            <w:tcW w:w="353" w:type="pct"/>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26" w:type="pct"/>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116"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患者满意度</w:t>
            </w:r>
          </w:p>
        </w:tc>
        <w:tc>
          <w:tcPr>
            <w:tcW w:w="178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≥90%</w:t>
            </w:r>
          </w:p>
        </w:tc>
        <w:tc>
          <w:tcPr>
            <w:tcW w:w="1806"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≥90%</w:t>
            </w:r>
          </w:p>
        </w:tc>
        <w:tc>
          <w:tcPr>
            <w:tcW w:w="56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3</w:t>
            </w:r>
          </w:p>
        </w:tc>
        <w:tc>
          <w:tcPr>
            <w:tcW w:w="74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3</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86" w:hRule="exact"/>
          <w:jc w:val="center"/>
        </w:trPr>
        <w:tc>
          <w:tcPr>
            <w:tcW w:w="3823" w:type="pct"/>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201"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cs="宋体"/>
                <w:color w:val="000000"/>
                <w:kern w:val="0"/>
                <w:sz w:val="18"/>
                <w:szCs w:val="18"/>
                <w:lang w:val="en-US"/>
              </w:rPr>
            </w:pPr>
            <w:r>
              <w:rPr>
                <w:rFonts w:hint="eastAsia" w:ascii="宋体" w:hAnsi="宋体" w:cs="宋体"/>
                <w:i w:val="0"/>
                <w:iCs w:val="0"/>
                <w:color w:val="000000"/>
                <w:kern w:val="0"/>
                <w:sz w:val="20"/>
                <w:szCs w:val="20"/>
                <w:u w:val="none"/>
                <w:lang w:val="en-US" w:eastAsia="zh-CN" w:bidi="ar"/>
              </w:rPr>
              <w:t>100</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mNzg3M2YyNzI2OWUwN2ZlM2M1MDc2ZTZlNGJjZTUifQ=="/>
  </w:docVars>
  <w:rsids>
    <w:rsidRoot w:val="28FF42C9"/>
    <w:rsid w:val="0167401F"/>
    <w:rsid w:val="044C53FF"/>
    <w:rsid w:val="1C46568C"/>
    <w:rsid w:val="28FF42C9"/>
    <w:rsid w:val="34F72D58"/>
    <w:rsid w:val="4BE3315F"/>
    <w:rsid w:val="56540606"/>
    <w:rsid w:val="620F5241"/>
    <w:rsid w:val="63872CC8"/>
    <w:rsid w:val="6E7838C8"/>
    <w:rsid w:val="71F4228E"/>
    <w:rsid w:val="7AD43B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spacing w:before="50" w:beforeLines="50" w:beforeAutospacing="0" w:afterAutospacing="0"/>
      <w:ind w:firstLine="670" w:firstLineChars="200"/>
      <w:jc w:val="left"/>
      <w:outlineLvl w:val="0"/>
    </w:pPr>
    <w:rPr>
      <w:rFonts w:hint="eastAsia" w:ascii="Times New Roman" w:hAnsi="Times New Roman" w:eastAsia="黑体" w:cs="Times New Roman"/>
      <w:kern w:val="44"/>
      <w:sz w:val="32"/>
      <w:szCs w:val="32"/>
    </w:rPr>
  </w:style>
  <w:style w:type="paragraph" w:styleId="3">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2024-04-16T02:39:00Z</dcterms:created>
  <dc:creator>csj</dc:creator>
  <cp:lastModifiedBy>赵晔</cp:lastModifiedBy>
  <dcterms:modified xsi:type="dcterms:W3CDTF">2024-05-05T11:00:08Z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F03ACE3CE6D146728D76A4A7EDF0ACF2_11</vt:lpwstr>
  </property>
</Properties>
</file>