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tbl>
      <w:tblPr>
        <w:tblStyle w:val="5"/>
        <w:tblW w:w="9228" w:type="dxa"/>
        <w:jc w:val="center"/>
        <w:tblLayout w:type="fixed"/>
        <w:tblCellMar>
          <w:top w:w="0" w:type="dxa"/>
          <w:left w:w="108" w:type="dxa"/>
          <w:bottom w:w="0" w:type="dxa"/>
          <w:right w:w="108" w:type="dxa"/>
        </w:tblCellMar>
      </w:tblPr>
      <w:tblGrid>
        <w:gridCol w:w="691"/>
        <w:gridCol w:w="963"/>
        <w:gridCol w:w="1092"/>
        <w:gridCol w:w="675"/>
        <w:gridCol w:w="1133"/>
        <w:gridCol w:w="199"/>
        <w:gridCol w:w="961"/>
        <w:gridCol w:w="819"/>
        <w:gridCol w:w="461"/>
        <w:gridCol w:w="96"/>
        <w:gridCol w:w="726"/>
        <w:gridCol w:w="706"/>
        <w:gridCol w:w="706"/>
      </w:tblGrid>
      <w:tr>
        <w:tblPrEx>
          <w:tblCellMar>
            <w:top w:w="0" w:type="dxa"/>
            <w:left w:w="108" w:type="dxa"/>
            <w:bottom w:w="0" w:type="dxa"/>
            <w:right w:w="108" w:type="dxa"/>
          </w:tblCellMar>
        </w:tblPrEx>
        <w:trPr>
          <w:trHeight w:val="440" w:hRule="exact"/>
          <w:jc w:val="center"/>
        </w:trPr>
        <w:tc>
          <w:tcPr>
            <w:tcW w:w="9228" w:type="dxa"/>
            <w:gridSpan w:val="13"/>
            <w:tcBorders>
              <w:top w:val="nil"/>
              <w:left w:val="nil"/>
              <w:bottom w:val="nil"/>
              <w:right w:val="nil"/>
            </w:tcBorders>
            <w:noWrap w:val="0"/>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228" w:type="dxa"/>
            <w:gridSpan w:val="13"/>
            <w:tcBorders>
              <w:top w:val="nil"/>
              <w:left w:val="nil"/>
              <w:bottom w:val="nil"/>
              <w:right w:val="nil"/>
            </w:tcBorders>
            <w:noWrap w:val="0"/>
            <w:vAlign w:val="top"/>
          </w:tcPr>
          <w:p>
            <w:pPr>
              <w:widowControl/>
              <w:jc w:val="center"/>
              <w:rPr>
                <w:rFonts w:ascii="宋体" w:hAnsi="宋体" w:cs="宋体"/>
                <w:kern w:val="0"/>
                <w:sz w:val="22"/>
              </w:rPr>
            </w:pPr>
            <w:r>
              <w:rPr>
                <w:rFonts w:hint="eastAsia" w:ascii="宋体" w:hAnsi="宋体" w:cs="宋体"/>
                <w:kern w:val="0"/>
                <w:sz w:val="22"/>
              </w:rPr>
              <w:t>（</w:t>
            </w:r>
            <w:r>
              <w:rPr>
                <w:rFonts w:hint="eastAsia" w:ascii="宋体" w:hAnsi="宋体" w:cs="宋体"/>
                <w:kern w:val="0"/>
                <w:sz w:val="22"/>
                <w:lang w:val="en-US" w:eastAsia="zh-CN"/>
              </w:rPr>
              <w:t>2023</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74" w:type="dxa"/>
            <w:gridSpan w:val="11"/>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kern w:val="0"/>
                <w:sz w:val="18"/>
                <w:szCs w:val="18"/>
                <w:lang w:val="en-US"/>
              </w:rPr>
            </w:pPr>
            <w:r>
              <w:rPr>
                <w:rFonts w:hint="eastAsia" w:ascii="宋体" w:hAnsi="宋体" w:eastAsia="宋体" w:cs="宋体"/>
                <w:i w:val="0"/>
                <w:color w:val="000000"/>
                <w:kern w:val="0"/>
                <w:sz w:val="20"/>
                <w:szCs w:val="20"/>
                <w:u w:val="none"/>
                <w:lang w:val="en-US" w:eastAsia="zh-CN"/>
              </w:rPr>
              <w:t>回龙观医院修缮改造</w:t>
            </w:r>
            <w:r>
              <w:rPr>
                <w:rFonts w:hint="eastAsia" w:ascii="宋体" w:hAnsi="宋体" w:cs="宋体"/>
                <w:i w:val="0"/>
                <w:color w:val="000000"/>
                <w:kern w:val="0"/>
                <w:sz w:val="20"/>
                <w:szCs w:val="20"/>
                <w:u w:val="none"/>
                <w:lang w:val="en-US" w:eastAsia="zh-CN"/>
              </w:rPr>
              <w:t>项目</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6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CN"/>
              </w:rPr>
              <w:t>北京市医院管理中心</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3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CN"/>
              </w:rPr>
              <w:t>北京回龙观医院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6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CN"/>
              </w:rPr>
              <w:t>汪湧</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83024311</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7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82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0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default" w:ascii="宋体" w:hAnsi="宋体" w:cs="宋体"/>
                <w:kern w:val="0"/>
                <w:sz w:val="18"/>
                <w:szCs w:val="18"/>
                <w:lang w:val="en-US" w:eastAsia="zh-CN"/>
              </w:rPr>
              <w:t>214.950000</w:t>
            </w:r>
          </w:p>
        </w:tc>
        <w:tc>
          <w:tcPr>
            <w:tcW w:w="11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default" w:ascii="宋体" w:hAnsi="宋体" w:cs="宋体"/>
                <w:kern w:val="0"/>
                <w:sz w:val="18"/>
                <w:szCs w:val="18"/>
                <w:lang w:val="en-US" w:eastAsia="zh-CN"/>
              </w:rPr>
              <w:t>214.950000</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default" w:ascii="宋体" w:hAnsi="宋体" w:cs="宋体"/>
                <w:kern w:val="0"/>
                <w:sz w:val="18"/>
                <w:szCs w:val="18"/>
                <w:lang w:val="en-US" w:eastAsia="zh-CN"/>
              </w:rPr>
              <w:t>214.950000</w:t>
            </w:r>
          </w:p>
        </w:tc>
        <w:tc>
          <w:tcPr>
            <w:tcW w:w="82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0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100%</w:t>
            </w:r>
          </w:p>
        </w:tc>
        <w:tc>
          <w:tcPr>
            <w:tcW w:w="70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default" w:ascii="宋体" w:hAnsi="宋体" w:cs="宋体"/>
                <w:kern w:val="0"/>
                <w:sz w:val="18"/>
                <w:szCs w:val="18"/>
                <w:lang w:val="en-US" w:eastAsia="zh-CN"/>
              </w:rPr>
              <w:t>214.950000</w:t>
            </w:r>
          </w:p>
        </w:tc>
        <w:tc>
          <w:tcPr>
            <w:tcW w:w="11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default" w:ascii="宋体" w:hAnsi="宋体" w:cs="宋体"/>
                <w:kern w:val="0"/>
                <w:sz w:val="18"/>
                <w:szCs w:val="18"/>
                <w:lang w:val="en-US" w:eastAsia="zh-CN"/>
              </w:rPr>
              <w:t>214.950000</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default" w:ascii="宋体" w:hAnsi="宋体" w:cs="宋体"/>
                <w:kern w:val="0"/>
                <w:sz w:val="18"/>
                <w:szCs w:val="18"/>
                <w:lang w:val="en-US" w:eastAsia="zh-CN"/>
              </w:rPr>
              <w:t>214.950000</w:t>
            </w:r>
          </w:p>
        </w:tc>
        <w:tc>
          <w:tcPr>
            <w:tcW w:w="82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0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100%</w:t>
            </w:r>
          </w:p>
        </w:tc>
        <w:tc>
          <w:tcPr>
            <w:tcW w:w="70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3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2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0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70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3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2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0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70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23"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51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321" w:hRule="exact"/>
          <w:jc w:val="center"/>
        </w:trPr>
        <w:tc>
          <w:tcPr>
            <w:tcW w:w="691"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5023"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原洗涤中心锅炉房废弃后一直用于我院医学工程处存放报残大件设备，仅作为报残库使用，通过加固及改造，不仅使其建筑抗震能力满足规范要求，保证在后续年限内整体结构的安全性和抗震性能，同时充分增加其经济型和空间利用率，整体提升医院基础设施服务能力，提升医院综合服务保障能力</w:t>
            </w:r>
            <w:r>
              <w:rPr>
                <w:rFonts w:hint="eastAsia" w:ascii="宋体" w:hAnsi="宋体" w:cs="宋体"/>
                <w:kern w:val="0"/>
                <w:sz w:val="18"/>
                <w:szCs w:val="18"/>
                <w:lang w:eastAsia="zh-CN"/>
              </w:rPr>
              <w:t>。</w:t>
            </w:r>
          </w:p>
        </w:tc>
        <w:tc>
          <w:tcPr>
            <w:tcW w:w="351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lang w:eastAsia="zh-CN"/>
              </w:rPr>
              <w:t>已完成加固装修改造，完成竣工验收，通过改造使其抗震能力满足规范要求，同时合理安排医院用房，提升医院配套基础设施。</w:t>
            </w:r>
          </w:p>
        </w:tc>
      </w:tr>
      <w:tr>
        <w:tblPrEx>
          <w:tblCellMar>
            <w:top w:w="0" w:type="dxa"/>
            <w:left w:w="108" w:type="dxa"/>
            <w:bottom w:w="0" w:type="dxa"/>
            <w:right w:w="108" w:type="dxa"/>
          </w:tblCellMar>
        </w:tblPrEx>
        <w:trPr>
          <w:trHeight w:val="517" w:hRule="exact"/>
          <w:jc w:val="center"/>
        </w:trPr>
        <w:tc>
          <w:tcPr>
            <w:tcW w:w="691"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90分</w:t>
            </w:r>
            <w:r>
              <w:rPr>
                <w:rFonts w:hint="eastAsia" w:ascii="宋体" w:hAnsi="宋体" w:cs="宋体"/>
                <w:kern w:val="0"/>
                <w:sz w:val="18"/>
                <w:szCs w:val="18"/>
                <w:lang w:eastAsia="zh-CN"/>
              </w:rPr>
              <w:t>）</w:t>
            </w:r>
          </w:p>
        </w:tc>
        <w:tc>
          <w:tcPr>
            <w:tcW w:w="96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96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1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50分</w:t>
            </w:r>
          </w:p>
        </w:tc>
        <w:tc>
          <w:tcPr>
            <w:tcW w:w="1092"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喷射混凝土加固</w:t>
            </w:r>
          </w:p>
        </w:tc>
        <w:tc>
          <w:tcPr>
            <w:tcW w:w="961"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kern w:val="0"/>
                <w:sz w:val="15"/>
                <w:szCs w:val="15"/>
              </w:rPr>
              <w:t>34</w:t>
            </w:r>
            <w:r>
              <w:rPr>
                <w:rFonts w:hint="eastAsia" w:ascii="宋体" w:hAnsi="宋体" w:cs="宋体"/>
                <w:kern w:val="0"/>
                <w:sz w:val="15"/>
                <w:szCs w:val="15"/>
                <w:lang w:val="en-US" w:eastAsia="zh-CN"/>
              </w:rPr>
              <w:t>0</w:t>
            </w:r>
            <w:r>
              <w:rPr>
                <w:rFonts w:hint="eastAsia" w:ascii="宋体" w:hAnsi="宋体" w:cs="宋体"/>
                <w:kern w:val="0"/>
                <w:sz w:val="15"/>
                <w:szCs w:val="15"/>
                <w:lang w:eastAsia="zh-CN"/>
              </w:rPr>
              <w:t>平方米</w:t>
            </w:r>
          </w:p>
        </w:tc>
        <w:tc>
          <w:tcPr>
            <w:tcW w:w="819"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kern w:val="0"/>
                <w:sz w:val="15"/>
                <w:szCs w:val="15"/>
                <w:lang w:val="en-US" w:eastAsia="zh-CN"/>
              </w:rPr>
              <w:t>362平方米</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电气、给排水等结点数</w:t>
            </w:r>
          </w:p>
        </w:tc>
        <w:tc>
          <w:tcPr>
            <w:tcW w:w="96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30个</w:t>
            </w:r>
          </w:p>
        </w:tc>
        <w:tc>
          <w:tcPr>
            <w:tcW w:w="81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33个</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热水管线改造</w:t>
            </w:r>
          </w:p>
        </w:tc>
        <w:tc>
          <w:tcPr>
            <w:tcW w:w="96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150米</w:t>
            </w:r>
          </w:p>
        </w:tc>
        <w:tc>
          <w:tcPr>
            <w:tcW w:w="81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173米</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新建化粪池座数</w:t>
            </w:r>
          </w:p>
        </w:tc>
        <w:tc>
          <w:tcPr>
            <w:tcW w:w="96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1座</w:t>
            </w:r>
          </w:p>
        </w:tc>
        <w:tc>
          <w:tcPr>
            <w:tcW w:w="81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1座</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66"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新建/改建/扩建基础设施的平方数</w:t>
            </w:r>
          </w:p>
        </w:tc>
        <w:tc>
          <w:tcPr>
            <w:tcW w:w="96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500平米</w:t>
            </w:r>
          </w:p>
        </w:tc>
        <w:tc>
          <w:tcPr>
            <w:tcW w:w="81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470平米</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3</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lang w:eastAsia="zh-CN"/>
              </w:rPr>
              <w:t>部分房间不具备改造条件</w:t>
            </w:r>
          </w:p>
        </w:tc>
      </w:tr>
      <w:tr>
        <w:tblPrEx>
          <w:tblCellMar>
            <w:top w:w="0" w:type="dxa"/>
            <w:left w:w="108" w:type="dxa"/>
            <w:bottom w:w="0" w:type="dxa"/>
            <w:right w:w="108" w:type="dxa"/>
          </w:tblCellMar>
        </w:tblPrEx>
        <w:trPr>
          <w:trHeight w:val="1016"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达到《房屋修缮工程施工质量验收规程》（DB11/509-2007）的质量验收标准</w:t>
            </w:r>
          </w:p>
        </w:tc>
        <w:tc>
          <w:tcPr>
            <w:tcW w:w="96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100%</w:t>
            </w:r>
          </w:p>
        </w:tc>
        <w:tc>
          <w:tcPr>
            <w:tcW w:w="81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 xml:space="preserve">4.83 </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bookmarkStart w:id="0" w:name="_GoBack"/>
            <w:bookmarkEnd w:id="0"/>
          </w:p>
        </w:tc>
      </w:tr>
      <w:tr>
        <w:tblPrEx>
          <w:tblCellMar>
            <w:top w:w="0" w:type="dxa"/>
            <w:left w:w="108" w:type="dxa"/>
            <w:bottom w:w="0" w:type="dxa"/>
            <w:right w:w="108" w:type="dxa"/>
          </w:tblCellMar>
        </w:tblPrEx>
        <w:trPr>
          <w:trHeight w:val="407"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color w:val="000000"/>
                <w:kern w:val="0"/>
                <w:sz w:val="18"/>
                <w:szCs w:val="18"/>
              </w:rPr>
              <w:t>竣工验收合格率</w:t>
            </w:r>
          </w:p>
        </w:tc>
        <w:tc>
          <w:tcPr>
            <w:tcW w:w="9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kern w:val="0"/>
                <w:sz w:val="18"/>
                <w:szCs w:val="18"/>
                <w:lang w:val="en-US" w:eastAsia="zh-CN"/>
              </w:rPr>
              <w:t>100%</w:t>
            </w:r>
          </w:p>
        </w:tc>
        <w:tc>
          <w:tcPr>
            <w:tcW w:w="81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 xml:space="preserve">4.83 </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000000"/>
                <w:kern w:val="0"/>
                <w:sz w:val="18"/>
                <w:szCs w:val="18"/>
              </w:rPr>
            </w:pPr>
          </w:p>
        </w:tc>
      </w:tr>
      <w:tr>
        <w:tblPrEx>
          <w:tblCellMar>
            <w:top w:w="0" w:type="dxa"/>
            <w:left w:w="108" w:type="dxa"/>
            <w:bottom w:w="0" w:type="dxa"/>
            <w:right w:w="108" w:type="dxa"/>
          </w:tblCellMar>
        </w:tblPrEx>
        <w:trPr>
          <w:trHeight w:val="507"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007" w:type="dxa"/>
            <w:gridSpan w:val="3"/>
            <w:tcBorders>
              <w:top w:val="single" w:color="auto" w:sz="4" w:space="0"/>
              <w:left w:val="nil"/>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完成招标工作及签订合同</w:t>
            </w:r>
          </w:p>
        </w:tc>
        <w:tc>
          <w:tcPr>
            <w:tcW w:w="96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2023.7</w:t>
            </w:r>
          </w:p>
        </w:tc>
        <w:tc>
          <w:tcPr>
            <w:tcW w:w="81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2023.7</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81"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完成项目验收</w:t>
            </w:r>
          </w:p>
        </w:tc>
        <w:tc>
          <w:tcPr>
            <w:tcW w:w="9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2023.12</w:t>
            </w:r>
          </w:p>
        </w:tc>
        <w:tc>
          <w:tcPr>
            <w:tcW w:w="81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2023.12</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11"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项目预算控制数</w:t>
            </w:r>
          </w:p>
        </w:tc>
        <w:tc>
          <w:tcPr>
            <w:tcW w:w="96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kern w:val="0"/>
                <w:sz w:val="18"/>
                <w:szCs w:val="18"/>
                <w:lang w:val="en-US" w:eastAsia="zh-CN"/>
              </w:rPr>
            </w:pPr>
            <w:r>
              <w:rPr>
                <w:rFonts w:hint="default" w:ascii="宋体" w:hAnsi="宋体" w:cs="宋体"/>
                <w:kern w:val="0"/>
                <w:sz w:val="18"/>
                <w:szCs w:val="18"/>
                <w:lang w:val="en-US" w:eastAsia="zh-CN"/>
              </w:rPr>
              <w:t>214.95</w:t>
            </w:r>
          </w:p>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万元</w:t>
            </w:r>
          </w:p>
        </w:tc>
        <w:tc>
          <w:tcPr>
            <w:tcW w:w="81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default" w:ascii="宋体" w:hAnsi="宋体" w:cs="宋体"/>
                <w:kern w:val="0"/>
                <w:sz w:val="18"/>
                <w:szCs w:val="18"/>
                <w:lang w:val="en-US" w:eastAsia="zh-CN"/>
              </w:rPr>
              <w:t>214.95</w:t>
            </w:r>
            <w:r>
              <w:rPr>
                <w:rFonts w:hint="eastAsia" w:ascii="宋体" w:hAnsi="宋体" w:cs="宋体"/>
                <w:kern w:val="0"/>
                <w:sz w:val="18"/>
                <w:szCs w:val="18"/>
                <w:lang w:val="en-US" w:eastAsia="zh-CN"/>
              </w:rPr>
              <w:t>万元</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141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12" w:hRule="atLeas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30分</w:t>
            </w:r>
          </w:p>
        </w:tc>
        <w:tc>
          <w:tcPr>
            <w:tcW w:w="10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00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color w:val="000000"/>
                <w:kern w:val="0"/>
                <w:sz w:val="18"/>
                <w:szCs w:val="18"/>
              </w:rPr>
              <w:t>消除重大安全隐患率达</w:t>
            </w:r>
          </w:p>
        </w:tc>
        <w:tc>
          <w:tcPr>
            <w:tcW w:w="96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100%</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default" w:ascii="宋体" w:hAnsi="宋体" w:cs="宋体"/>
                <w:kern w:val="0"/>
                <w:sz w:val="18"/>
                <w:szCs w:val="18"/>
                <w:lang w:val="en-US" w:eastAsia="zh-CN"/>
              </w:rPr>
              <w:t>10</w:t>
            </w:r>
          </w:p>
        </w:tc>
        <w:tc>
          <w:tcPr>
            <w:tcW w:w="7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 xml:space="preserve">9.83 </w:t>
            </w:r>
          </w:p>
        </w:tc>
        <w:tc>
          <w:tcPr>
            <w:tcW w:w="141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12" w:hRule="atLeas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00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color w:val="000000"/>
                <w:kern w:val="0"/>
                <w:sz w:val="18"/>
                <w:szCs w:val="18"/>
                <w:lang w:eastAsia="zh-CN"/>
              </w:rPr>
              <w:t>使用环保材料</w:t>
            </w:r>
          </w:p>
        </w:tc>
        <w:tc>
          <w:tcPr>
            <w:tcW w:w="96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90%</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10</w:t>
            </w:r>
          </w:p>
        </w:tc>
        <w:tc>
          <w:tcPr>
            <w:tcW w:w="7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10</w:t>
            </w:r>
          </w:p>
        </w:tc>
        <w:tc>
          <w:tcPr>
            <w:tcW w:w="141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12" w:hRule="atLeas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00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color w:val="000000"/>
                <w:kern w:val="0"/>
                <w:sz w:val="18"/>
                <w:szCs w:val="18"/>
              </w:rPr>
              <w:t>建成或改造可持续提供服务年限</w:t>
            </w:r>
          </w:p>
        </w:tc>
        <w:tc>
          <w:tcPr>
            <w:tcW w:w="96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10年</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10年以上</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10</w:t>
            </w:r>
          </w:p>
        </w:tc>
        <w:tc>
          <w:tcPr>
            <w:tcW w:w="7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10</w:t>
            </w:r>
          </w:p>
        </w:tc>
        <w:tc>
          <w:tcPr>
            <w:tcW w:w="141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82" w:hRule="exact"/>
          <w:jc w:val="center"/>
        </w:trPr>
        <w:tc>
          <w:tcPr>
            <w:tcW w:w="691"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10分</w:t>
            </w:r>
          </w:p>
        </w:tc>
        <w:tc>
          <w:tcPr>
            <w:tcW w:w="109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kern w:val="0"/>
                <w:sz w:val="18"/>
                <w:szCs w:val="18"/>
              </w:rPr>
            </w:pPr>
            <w:r>
              <w:rPr>
                <w:rFonts w:hint="eastAsia" w:ascii="宋体" w:hAnsi="宋体" w:cs="宋体"/>
                <w:color w:val="000000"/>
                <w:kern w:val="0"/>
                <w:sz w:val="18"/>
                <w:szCs w:val="18"/>
              </w:rPr>
              <w:t xml:space="preserve">社会公众对医院基础设施的满意度 </w:t>
            </w:r>
          </w:p>
        </w:tc>
        <w:tc>
          <w:tcPr>
            <w:tcW w:w="9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90%</w:t>
            </w:r>
          </w:p>
        </w:tc>
        <w:tc>
          <w:tcPr>
            <w:tcW w:w="81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4.5</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77" w:hRule="exact"/>
          <w:jc w:val="center"/>
        </w:trPr>
        <w:tc>
          <w:tcPr>
            <w:tcW w:w="691"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00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医院受益职工/就诊患者满意度</w:t>
            </w:r>
          </w:p>
        </w:tc>
        <w:tc>
          <w:tcPr>
            <w:tcW w:w="96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90%</w:t>
            </w:r>
          </w:p>
        </w:tc>
        <w:tc>
          <w:tcPr>
            <w:tcW w:w="81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88%</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 xml:space="preserve">2.67 </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CN"/>
              </w:rPr>
              <w:t>锅炉房改造后，部分房间噪音，满意度下降</w:t>
            </w:r>
          </w:p>
        </w:tc>
      </w:tr>
      <w:tr>
        <w:tblPrEx>
          <w:tblCellMar>
            <w:top w:w="0" w:type="dxa"/>
            <w:left w:w="108" w:type="dxa"/>
            <w:bottom w:w="0" w:type="dxa"/>
            <w:right w:w="108" w:type="dxa"/>
          </w:tblCellMar>
        </w:tblPrEx>
        <w:trPr>
          <w:trHeight w:val="381" w:hRule="exact"/>
          <w:jc w:val="center"/>
        </w:trPr>
        <w:tc>
          <w:tcPr>
            <w:tcW w:w="6533"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2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94.66</w:t>
            </w:r>
          </w:p>
        </w:tc>
        <w:tc>
          <w:tcPr>
            <w:tcW w:w="141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mNzg3M2YyNzI2OWUwN2ZlM2M1MDc2ZTZlNGJjZTUifQ=="/>
  </w:docVars>
  <w:rsids>
    <w:rsidRoot w:val="28FF42C9"/>
    <w:rsid w:val="0167401F"/>
    <w:rsid w:val="1C46568C"/>
    <w:rsid w:val="1E4E0BD2"/>
    <w:rsid w:val="230B6144"/>
    <w:rsid w:val="28FF42C9"/>
    <w:rsid w:val="3AFD23CA"/>
    <w:rsid w:val="43952EE3"/>
    <w:rsid w:val="596F2552"/>
    <w:rsid w:val="63872CC8"/>
    <w:rsid w:val="6E7838C8"/>
    <w:rsid w:val="7AF820D6"/>
    <w:rsid w:val="7B241E85"/>
    <w:rsid w:val="7F9D3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beforeAutospacing="0" w:afterAutospacing="0"/>
      <w:ind w:firstLine="670" w:firstLineChars="200"/>
      <w:jc w:val="left"/>
      <w:outlineLvl w:val="0"/>
    </w:pPr>
    <w:rPr>
      <w:rFonts w:hint="eastAsia" w:ascii="Times New Roman" w:hAnsi="Times New Roman" w:eastAsia="黑体" w:cs="Times New Roman"/>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赵晔</cp:lastModifiedBy>
  <cp:lastPrinted>2024-04-30T01:51:00Z</cp:lastPrinted>
  <dcterms:modified xsi:type="dcterms:W3CDTF">2024-05-05T10:59:42Z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