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_GB2312" w:eastAsia="黑体"/>
          <w:sz w:val="32"/>
          <w:szCs w:val="32"/>
          <w:lang w:eastAsia="zh-CN"/>
        </w:rPr>
      </w:pPr>
      <w:r>
        <w:rPr>
          <w:rFonts w:hint="eastAsia" w:ascii="黑体" w:hAnsi="黑体" w:eastAsia="黑体"/>
          <w:sz w:val="32"/>
          <w:szCs w:val="32"/>
        </w:rPr>
        <w:t>附件</w:t>
      </w:r>
      <w:r>
        <w:rPr>
          <w:rFonts w:hint="eastAsia" w:ascii="黑体" w:hAnsi="黑体" w:eastAsia="黑体"/>
          <w:sz w:val="32"/>
          <w:szCs w:val="32"/>
          <w:lang w:val="en-US" w:eastAsia="zh-CN"/>
        </w:rPr>
        <w:t>2</w:t>
      </w:r>
    </w:p>
    <w:tbl>
      <w:tblPr>
        <w:tblStyle w:val="5"/>
        <w:tblW w:w="4988" w:type="pct"/>
        <w:jc w:val="center"/>
        <w:tblLayout w:type="fixed"/>
        <w:tblCellMar>
          <w:top w:w="0" w:type="dxa"/>
          <w:left w:w="108" w:type="dxa"/>
          <w:bottom w:w="0" w:type="dxa"/>
          <w:right w:w="108" w:type="dxa"/>
        </w:tblCellMar>
      </w:tblPr>
      <w:tblGrid>
        <w:gridCol w:w="1001"/>
        <w:gridCol w:w="901"/>
        <w:gridCol w:w="1207"/>
        <w:gridCol w:w="1938"/>
        <w:gridCol w:w="2178"/>
        <w:gridCol w:w="1783"/>
        <w:gridCol w:w="1355"/>
        <w:gridCol w:w="451"/>
        <w:gridCol w:w="569"/>
        <w:gridCol w:w="740"/>
        <w:gridCol w:w="958"/>
        <w:gridCol w:w="1059"/>
      </w:tblGrid>
      <w:tr>
        <w:tblPrEx>
          <w:tblCellMar>
            <w:top w:w="0" w:type="dxa"/>
            <w:left w:w="108" w:type="dxa"/>
            <w:bottom w:w="0" w:type="dxa"/>
            <w:right w:w="108" w:type="dxa"/>
          </w:tblCellMar>
        </w:tblPrEx>
        <w:trPr>
          <w:trHeight w:val="440" w:hRule="exact"/>
          <w:jc w:val="center"/>
        </w:trPr>
        <w:tc>
          <w:tcPr>
            <w:tcW w:w="5000" w:type="pct"/>
            <w:gridSpan w:val="12"/>
            <w:tcBorders>
              <w:top w:val="nil"/>
              <w:left w:val="nil"/>
              <w:bottom w:val="nil"/>
              <w:right w:val="nil"/>
            </w:tcBorders>
            <w:noWrap w:val="0"/>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5000" w:type="pct"/>
            <w:gridSpan w:val="12"/>
            <w:tcBorders>
              <w:top w:val="nil"/>
              <w:left w:val="nil"/>
              <w:bottom w:val="nil"/>
              <w:right w:val="nil"/>
            </w:tcBorders>
            <w:noWrap w:val="0"/>
            <w:vAlign w:val="top"/>
          </w:tcPr>
          <w:p>
            <w:pPr>
              <w:widowControl/>
              <w:jc w:val="center"/>
              <w:rPr>
                <w:rFonts w:ascii="宋体" w:hAnsi="宋体" w:cs="宋体"/>
                <w:kern w:val="0"/>
                <w:sz w:val="22"/>
              </w:rPr>
            </w:pPr>
            <w:r>
              <w:rPr>
                <w:rFonts w:hint="eastAsia" w:ascii="宋体" w:hAnsi="宋体" w:cs="宋体"/>
                <w:kern w:val="0"/>
                <w:sz w:val="22"/>
              </w:rPr>
              <w:t>（</w:t>
            </w:r>
            <w:r>
              <w:rPr>
                <w:rFonts w:hint="eastAsia" w:ascii="宋体" w:hAnsi="宋体" w:cs="宋体"/>
                <w:kern w:val="0"/>
                <w:sz w:val="22"/>
                <w:lang w:val="en-US" w:eastAsia="zh-CN"/>
              </w:rPr>
              <w:t>2023</w:t>
            </w:r>
            <w:r>
              <w:rPr>
                <w:rFonts w:hint="eastAsia" w:ascii="宋体" w:hAnsi="宋体" w:cs="宋体"/>
                <w:kern w:val="0"/>
                <w:sz w:val="22"/>
              </w:rPr>
              <w:t>年度）</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项目名称</w:t>
            </w:r>
          </w:p>
        </w:tc>
        <w:tc>
          <w:tcPr>
            <w:tcW w:w="4327" w:type="pct"/>
            <w:gridSpan w:val="10"/>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回龙观医院青苗人才第八期第一年</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主管部门</w:t>
            </w:r>
          </w:p>
        </w:tc>
        <w:tc>
          <w:tcPr>
            <w:tcW w:w="2512" w:type="pct"/>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北京市医院管理中心</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实施单位</w:t>
            </w:r>
          </w:p>
        </w:tc>
        <w:tc>
          <w:tcPr>
            <w:tcW w:w="1335"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北京回龙观医院</w:t>
            </w:r>
          </w:p>
        </w:tc>
      </w:tr>
      <w:tr>
        <w:tblPrEx>
          <w:tblCellMar>
            <w:top w:w="0" w:type="dxa"/>
            <w:left w:w="108" w:type="dxa"/>
            <w:bottom w:w="0" w:type="dxa"/>
            <w:right w:w="108" w:type="dxa"/>
          </w:tblCellMar>
        </w:tblPrEx>
        <w:trPr>
          <w:trHeight w:val="291" w:hRule="exact"/>
          <w:jc w:val="center"/>
        </w:trPr>
        <w:tc>
          <w:tcPr>
            <w:tcW w:w="672"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w:t>
            </w:r>
            <w:r>
              <w:rPr>
                <w:rFonts w:ascii="宋体" w:hAnsi="宋体" w:cs="宋体"/>
                <w:kern w:val="0"/>
                <w:sz w:val="18"/>
                <w:szCs w:val="18"/>
              </w:rPr>
              <w:t>负责人</w:t>
            </w:r>
          </w:p>
        </w:tc>
        <w:tc>
          <w:tcPr>
            <w:tcW w:w="2512" w:type="pct"/>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于婷、宋佳起、张蒙、魏艳艳、马梦颖、胡娜</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联系电话</w:t>
            </w:r>
          </w:p>
        </w:tc>
        <w:tc>
          <w:tcPr>
            <w:tcW w:w="1335"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lang w:val="en-US" w:eastAsia="zh-CN"/>
              </w:rPr>
              <w:t>83024390</w:t>
            </w:r>
          </w:p>
        </w:tc>
      </w:tr>
      <w:tr>
        <w:tblPrEx>
          <w:tblCellMar>
            <w:top w:w="0" w:type="dxa"/>
            <w:left w:w="108" w:type="dxa"/>
            <w:bottom w:w="0" w:type="dxa"/>
            <w:right w:w="108" w:type="dxa"/>
          </w:tblCellMar>
        </w:tblPrEx>
        <w:trPr>
          <w:trHeight w:val="644" w:hRule="exact"/>
          <w:jc w:val="center"/>
        </w:trPr>
        <w:tc>
          <w:tcPr>
            <w:tcW w:w="672" w:type="pct"/>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项目资金</w:t>
            </w:r>
            <w:r>
              <w:rPr>
                <w:rFonts w:hint="eastAsia" w:ascii="宋体" w:hAnsi="宋体" w:cs="宋体"/>
                <w:kern w:val="0"/>
                <w:sz w:val="18"/>
                <w:szCs w:val="18"/>
              </w:rPr>
              <w:br w:type="textWrapping"/>
            </w:r>
            <w:r>
              <w:rPr>
                <w:rFonts w:hint="eastAsia" w:ascii="宋体" w:hAnsi="宋体" w:cs="宋体"/>
                <w:kern w:val="0"/>
                <w:sz w:val="18"/>
                <w:szCs w:val="18"/>
              </w:rPr>
              <w:t>（万元）</w:t>
            </w: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年初预算数</w:t>
            </w: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全年预算数</w:t>
            </w: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全年执行数</w:t>
            </w: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执行率</w:t>
            </w: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r>
      <w:tr>
        <w:tblPrEx>
          <w:tblCellMar>
            <w:top w:w="0" w:type="dxa"/>
            <w:left w:w="108" w:type="dxa"/>
            <w:bottom w:w="0" w:type="dxa"/>
            <w:right w:w="108" w:type="dxa"/>
          </w:tblCellMar>
        </w:tblPrEx>
        <w:trPr>
          <w:trHeight w:val="312"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rPr>
                <w:rFonts w:ascii="宋体" w:hAnsi="宋体" w:cs="宋体"/>
                <w:kern w:val="0"/>
                <w:sz w:val="18"/>
                <w:szCs w:val="18"/>
              </w:rPr>
            </w:pPr>
            <w:r>
              <w:rPr>
                <w:rFonts w:hint="eastAsia" w:ascii="宋体" w:hAnsi="宋体" w:cs="宋体"/>
                <w:kern w:val="0"/>
                <w:sz w:val="18"/>
                <w:szCs w:val="18"/>
              </w:rPr>
              <w:t>年度资金总额</w:t>
            </w:r>
          </w:p>
        </w:tc>
        <w:tc>
          <w:tcPr>
            <w:tcW w:w="77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宋体" w:hAnsi="宋体" w:cs="宋体"/>
                <w:kern w:val="0"/>
                <w:sz w:val="18"/>
                <w:szCs w:val="18"/>
                <w:lang w:val="en-US"/>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p>
        </w:tc>
        <w:tc>
          <w:tcPr>
            <w:tcW w:w="47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其中：当年财政拨款</w:t>
            </w:r>
          </w:p>
        </w:tc>
        <w:tc>
          <w:tcPr>
            <w:tcW w:w="77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bookmarkStart w:id="0" w:name="_GoBack"/>
            <w:bookmarkEnd w:id="0"/>
          </w:p>
        </w:tc>
        <w:tc>
          <w:tcPr>
            <w:tcW w:w="479"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1"/>
                <w:szCs w:val="21"/>
                <w:u w:val="none"/>
                <w:lang w:val="en-US" w:eastAsia="zh-CN" w:bidi="ar"/>
              </w:rPr>
              <w:t>21</w:t>
            </w:r>
            <w:r>
              <w:rPr>
                <w:rFonts w:hint="eastAsia" w:ascii="宋体" w:hAnsi="宋体" w:cs="宋体"/>
                <w:i w:val="0"/>
                <w:iCs w:val="0"/>
                <w:color w:val="000000"/>
                <w:kern w:val="0"/>
                <w:sz w:val="21"/>
                <w:szCs w:val="21"/>
                <w:u w:val="none"/>
                <w:lang w:val="en-US" w:eastAsia="zh-CN" w:bidi="ar"/>
              </w:rPr>
              <w:t>.00</w:t>
            </w: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10</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100%</w:t>
            </w: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w:t>
            </w:r>
          </w:p>
        </w:tc>
      </w:tr>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上年结转资金</w:t>
            </w: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72" w:type="pct"/>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112"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 xml:space="preserve">  其他资金</w:t>
            </w:r>
          </w:p>
        </w:tc>
        <w:tc>
          <w:tcPr>
            <w:tcW w:w="77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30"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79"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622" w:type="pct"/>
            <w:gridSpan w:val="3"/>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c>
          <w:tcPr>
            <w:tcW w:w="338" w:type="pct"/>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74"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w:t>
            </w:r>
          </w:p>
        </w:tc>
      </w:tr>
      <w:tr>
        <w:tblPrEx>
          <w:tblCellMar>
            <w:top w:w="0" w:type="dxa"/>
            <w:left w:w="108" w:type="dxa"/>
            <w:bottom w:w="0" w:type="dxa"/>
            <w:right w:w="108" w:type="dxa"/>
          </w:tblCellMar>
        </w:tblPrEx>
        <w:trPr>
          <w:trHeight w:val="291" w:hRule="exact"/>
          <w:jc w:val="center"/>
        </w:trPr>
        <w:tc>
          <w:tcPr>
            <w:tcW w:w="353" w:type="pct"/>
            <w:vMerge w:val="restart"/>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年度总体目标</w:t>
            </w:r>
          </w:p>
        </w:tc>
        <w:tc>
          <w:tcPr>
            <w:tcW w:w="2831" w:type="pct"/>
            <w:gridSpan w:val="5"/>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预期目标</w:t>
            </w:r>
          </w:p>
        </w:tc>
        <w:tc>
          <w:tcPr>
            <w:tcW w:w="1814" w:type="pct"/>
            <w:gridSpan w:val="6"/>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实际完成情况</w:t>
            </w:r>
          </w:p>
        </w:tc>
      </w:tr>
      <w:tr>
        <w:tblPrEx>
          <w:tblCellMar>
            <w:top w:w="0" w:type="dxa"/>
            <w:left w:w="108" w:type="dxa"/>
            <w:bottom w:w="0" w:type="dxa"/>
            <w:right w:w="108" w:type="dxa"/>
          </w:tblCellMar>
        </w:tblPrEx>
        <w:trPr>
          <w:trHeight w:val="3673" w:hRule="exact"/>
          <w:jc w:val="center"/>
        </w:trPr>
        <w:tc>
          <w:tcPr>
            <w:tcW w:w="353" w:type="pct"/>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2200" w:type="pct"/>
            <w:gridSpan w:val="4"/>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iCs w:val="0"/>
                <w:color w:val="000000"/>
                <w:kern w:val="0"/>
                <w:sz w:val="18"/>
                <w:szCs w:val="18"/>
                <w:u w:val="none"/>
                <w:lang w:val="en-US" w:eastAsia="zh-CN" w:bidi="ar"/>
              </w:rPr>
              <w:t>课题一（于婷）：电子临床观察表开发；量表一致性培训；研究对象纳入</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课题二（宋佳起）：研究用记录表制作、研究人员量表一致性培训等准备工作；部分研究数据收集                                                                         课题三（魏艳艳）：完成每组25例研究数据的收集，完成各项研究准备，包括研究用记录表，临床资料收集，情绪及认知功能测查，及血样的收集。                                                                      课题四（张蒙）：研究用记录表制作、fMRI 范式预实验等研究准备工作；部分研究数据收集                                                                             课题五（马梦颖）：完成部分精神分裂症和健康对照人群的数据采集，整理汇总统计分析结果。                                                                             课题六（胡娜）：完成量表一致性培训等准备工作；完成部分数据收集。</w:t>
            </w:r>
          </w:p>
        </w:tc>
        <w:tc>
          <w:tcPr>
            <w:tcW w:w="2445" w:type="pct"/>
            <w:gridSpan w:val="7"/>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课题一（于婷）：完成电子临床观察表开发；完成量表一致性培训；完成研究对象纳入</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课题二（宋佳起）：完成研究用记录表制作、一致性培训，收集64例研究数据收集                                                                                课题三（魏艳艳）：完成CRF的制作、量表培训等准备工作，完成每组25例研究对象入组及数据收集。                                                                                              课题四（张蒙）：完成研究用记录表制作、fMRI范式预实验；完成60例研究数据收集。                                                                              课题五（马梦颖）：完成部分精神分裂症和健康对照人群的数据采集，整理汇总统计分析结果。                                                                               课题六（胡娜）：完成量表一致性培训等准备工作；完成45例研究数据的收集。</w:t>
            </w:r>
          </w:p>
        </w:tc>
      </w:tr>
      <w:tr>
        <w:tblPrEx>
          <w:tblCellMar>
            <w:top w:w="0" w:type="dxa"/>
            <w:left w:w="108" w:type="dxa"/>
            <w:bottom w:w="0" w:type="dxa"/>
            <w:right w:w="108" w:type="dxa"/>
          </w:tblCellMar>
        </w:tblPrEx>
        <w:trPr>
          <w:trHeight w:val="517" w:hRule="exact"/>
          <w:jc w:val="center"/>
        </w:trPr>
        <w:tc>
          <w:tcPr>
            <w:tcW w:w="353"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绩</w:t>
            </w:r>
            <w:r>
              <w:rPr>
                <w:rFonts w:hint="eastAsia" w:ascii="宋体" w:hAnsi="宋体" w:cs="宋体"/>
                <w:kern w:val="0"/>
                <w:sz w:val="18"/>
                <w:szCs w:val="18"/>
              </w:rPr>
              <w:br w:type="textWrapping"/>
            </w:r>
            <w:r>
              <w:rPr>
                <w:rFonts w:hint="eastAsia" w:ascii="宋体" w:hAnsi="宋体" w:cs="宋体"/>
                <w:kern w:val="0"/>
                <w:sz w:val="18"/>
                <w:szCs w:val="18"/>
              </w:rPr>
              <w:t>效</w:t>
            </w:r>
            <w:r>
              <w:rPr>
                <w:rFonts w:hint="eastAsia" w:ascii="宋体" w:hAnsi="宋体" w:cs="宋体"/>
                <w:kern w:val="0"/>
                <w:sz w:val="18"/>
                <w:szCs w:val="18"/>
              </w:rPr>
              <w:br w:type="textWrapping"/>
            </w:r>
            <w:r>
              <w:rPr>
                <w:rFonts w:hint="eastAsia" w:ascii="宋体" w:hAnsi="宋体" w:cs="宋体"/>
                <w:kern w:val="0"/>
                <w:sz w:val="18"/>
                <w:szCs w:val="18"/>
              </w:rPr>
              <w:t>指</w:t>
            </w:r>
            <w:r>
              <w:rPr>
                <w:rFonts w:hint="eastAsia" w:ascii="宋体" w:hAnsi="宋体" w:cs="宋体"/>
                <w:kern w:val="0"/>
                <w:sz w:val="18"/>
                <w:szCs w:val="18"/>
              </w:rPr>
              <w:br w:type="textWrapping"/>
            </w:r>
            <w:r>
              <w:rPr>
                <w:rFonts w:hint="eastAsia" w:ascii="宋体" w:hAnsi="宋体" w:cs="宋体"/>
                <w:kern w:val="0"/>
                <w:sz w:val="18"/>
                <w:szCs w:val="18"/>
              </w:rPr>
              <w:t>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eastAsia="zh-CN"/>
              </w:rPr>
              <w:t>（</w:t>
            </w:r>
            <w:r>
              <w:rPr>
                <w:rFonts w:hint="eastAsia" w:ascii="宋体" w:hAnsi="宋体" w:cs="宋体"/>
                <w:kern w:val="0"/>
                <w:sz w:val="18"/>
                <w:szCs w:val="18"/>
                <w:lang w:val="en-US" w:eastAsia="zh-CN"/>
              </w:rPr>
              <w:t>90分</w:t>
            </w:r>
            <w:r>
              <w:rPr>
                <w:rFonts w:hint="eastAsia" w:ascii="宋体" w:hAnsi="宋体" w:cs="宋体"/>
                <w:kern w:val="0"/>
                <w:sz w:val="18"/>
                <w:szCs w:val="18"/>
                <w:lang w:eastAsia="zh-CN"/>
              </w:rPr>
              <w:t>）</w:t>
            </w:r>
          </w:p>
        </w:tc>
        <w:tc>
          <w:tcPr>
            <w:tcW w:w="31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一级指标</w:t>
            </w: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二级指标</w:t>
            </w:r>
          </w:p>
        </w:tc>
        <w:tc>
          <w:tcPr>
            <w:tcW w:w="1455"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三级指标</w:t>
            </w:r>
          </w:p>
        </w:tc>
        <w:tc>
          <w:tcPr>
            <w:tcW w:w="630"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年度</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指标值</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实际</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完成值</w:t>
            </w:r>
          </w:p>
        </w:tc>
        <w:tc>
          <w:tcPr>
            <w:tcW w:w="201"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分值</w:t>
            </w:r>
          </w:p>
        </w:tc>
        <w:tc>
          <w:tcPr>
            <w:tcW w:w="261"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得分</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偏差原因分析及改进措施</w:t>
            </w:r>
          </w:p>
        </w:tc>
      </w:tr>
      <w:tr>
        <w:tblPrEx>
          <w:tblCellMar>
            <w:top w:w="0" w:type="dxa"/>
            <w:left w:w="108" w:type="dxa"/>
            <w:bottom w:w="0" w:type="dxa"/>
            <w:right w:w="108" w:type="dxa"/>
          </w:tblCellMar>
        </w:tblPrEx>
        <w:trPr>
          <w:trHeight w:val="48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产出指标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50分</w:t>
            </w: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数量指标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电子临床观察表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1个</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1个 </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7</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7</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966"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完成样本收集 </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285例</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255例</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7</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6</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tabs>
                <w:tab w:val="left" w:pos="487"/>
              </w:tabs>
              <w:spacing w:line="240" w:lineRule="exact"/>
              <w:jc w:val="left"/>
              <w:rPr>
                <w:rFonts w:hint="eastAsia" w:ascii="宋体" w:hAnsi="宋体" w:eastAsia="宋体" w:cs="宋体"/>
                <w:kern w:val="0"/>
                <w:sz w:val="18"/>
                <w:szCs w:val="18"/>
                <w:lang w:eastAsia="zh-CN"/>
              </w:rPr>
            </w:pPr>
            <w:r>
              <w:rPr>
                <w:rFonts w:hint="eastAsia" w:ascii="宋体" w:hAnsi="宋体" w:cs="宋体"/>
                <w:kern w:val="0"/>
                <w:sz w:val="18"/>
                <w:szCs w:val="18"/>
                <w:lang w:eastAsia="zh-CN"/>
              </w:rPr>
              <w:t>部分患者因磁共振数据不合格被剔除，预计在2024年加快进度，完成例数</w:t>
            </w:r>
          </w:p>
        </w:tc>
      </w:tr>
      <w:tr>
        <w:tblPrEx>
          <w:tblCellMar>
            <w:top w:w="0" w:type="dxa"/>
            <w:left w:w="108" w:type="dxa"/>
            <w:bottom w:w="0" w:type="dxa"/>
            <w:right w:w="108" w:type="dxa"/>
          </w:tblCellMar>
        </w:tblPrEx>
        <w:trPr>
          <w:trHeight w:val="886"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培养掌握fMRI规范化实验技术、认知功能测查、核磁及血样检测、量表评估及血样检测实验技术人员个数</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9人</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9人</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5"/>
                <w:szCs w:val="15"/>
              </w:rPr>
            </w:pPr>
            <w:r>
              <w:rPr>
                <w:rFonts w:hint="eastAsia" w:ascii="宋体" w:hAnsi="宋体" w:eastAsia="宋体" w:cs="宋体"/>
                <w:i w:val="0"/>
                <w:iCs w:val="0"/>
                <w:color w:val="000000"/>
                <w:kern w:val="0"/>
                <w:sz w:val="20"/>
                <w:szCs w:val="20"/>
                <w:u w:val="none"/>
                <w:lang w:val="en-US" w:eastAsia="zh-CN" w:bidi="ar"/>
              </w:rPr>
              <w:t>7</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7</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质量指标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量表一致性 ICC（组内相关系数）</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≥0.75</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≥0.75</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被试脱落率 </w:t>
            </w:r>
          </w:p>
        </w:tc>
        <w:tc>
          <w:tcPr>
            <w:tcW w:w="630"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≤10%</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≤10%</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65"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研究设计、人员组织和分工、量表评定人员的一致性培训完成程度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638" w:type="pct"/>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100%</w:t>
            </w:r>
          </w:p>
        </w:tc>
        <w:tc>
          <w:tcPr>
            <w:tcW w:w="20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时效指标</w:t>
            </w: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电子临床观察表开发 </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291"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研究对象纳入 </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2023年12月前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2023年12月前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完成基线数据收集 </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2023年10月底前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2023年10月底前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145"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 xml:space="preserve">完成满意度调查 </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2023年11月底前</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2023年11月底前</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3</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p>
        </w:tc>
      </w:tr>
      <w:tr>
        <w:tblPrEx>
          <w:tblCellMar>
            <w:top w:w="0" w:type="dxa"/>
            <w:left w:w="108" w:type="dxa"/>
            <w:bottom w:w="0" w:type="dxa"/>
            <w:right w:w="108" w:type="dxa"/>
          </w:tblCellMar>
        </w:tblPrEx>
        <w:trPr>
          <w:trHeight w:val="602"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成本指标</w:t>
            </w:r>
          </w:p>
        </w:tc>
        <w:tc>
          <w:tcPr>
            <w:tcW w:w="1455" w:type="pct"/>
            <w:gridSpan w:val="2"/>
            <w:tcBorders>
              <w:top w:val="single" w:color="auto" w:sz="4" w:space="0"/>
              <w:left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材料费、专利申请费、文献检索费、劳务费、人才培养费</w:t>
            </w:r>
          </w:p>
        </w:tc>
        <w:tc>
          <w:tcPr>
            <w:tcW w:w="630"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21万元</w:t>
            </w:r>
          </w:p>
        </w:tc>
        <w:tc>
          <w:tcPr>
            <w:tcW w:w="638" w:type="pct"/>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21万元</w:t>
            </w:r>
          </w:p>
        </w:tc>
        <w:tc>
          <w:tcPr>
            <w:tcW w:w="20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5</w:t>
            </w:r>
          </w:p>
        </w:tc>
        <w:tc>
          <w:tcPr>
            <w:tcW w:w="261" w:type="pct"/>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5</w:t>
            </w:r>
          </w:p>
        </w:tc>
        <w:tc>
          <w:tcPr>
            <w:tcW w:w="713" w:type="pct"/>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53"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效益指标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30分</w:t>
            </w:r>
          </w:p>
        </w:tc>
        <w:tc>
          <w:tcPr>
            <w:tcW w:w="426"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社会效益</w:t>
            </w:r>
          </w:p>
          <w:p>
            <w:pPr>
              <w:widowControl/>
              <w:spacing w:line="240" w:lineRule="exact"/>
              <w:jc w:val="center"/>
              <w:rPr>
                <w:rFonts w:ascii="宋体" w:hAnsi="宋体" w:cs="宋体"/>
                <w:kern w:val="0"/>
                <w:sz w:val="18"/>
                <w:szCs w:val="18"/>
              </w:rPr>
            </w:pPr>
            <w:r>
              <w:rPr>
                <w:rFonts w:hint="eastAsia" w:ascii="宋体" w:hAnsi="宋体" w:cs="宋体"/>
                <w:kern w:val="0"/>
                <w:sz w:val="18"/>
                <w:szCs w:val="18"/>
              </w:rPr>
              <w:t>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掌握精神症状的识别、临床量表的评估、认知功能的评估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通过率65%</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通过率65%</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5</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5</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掌握神经影像学数据的分析处理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合格率90%</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合格率90%</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5</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对精神分裂症核心临床症状可能产生的神经病理机制进行描绘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明确重点观察脑环路的范围</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已明确重点脑环路</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观察精神分裂症患者的生活质量变化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受试者生活质量提高10%</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受试者生活质量提高10%</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观察治疗前后精神分裂症患者的食欲和体重增加的控制程度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受试者的食欲较前减少10%</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受试者的食欲较前减少10%</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初步阐明精神分裂症血清同型半胱氨酸与脑结构和认知功能的关系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探索精神分裂症血清同型半胱氨酸与脑结构和认知功能的关系</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已初步阐明精神分裂症血清同型半胱氨酸与脑结构和认知功能的关系</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441" w:hRule="atLeas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318"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426"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pP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left"/>
              <w:textAlignment w:val="center"/>
            </w:pPr>
            <w:r>
              <w:rPr>
                <w:rFonts w:hint="eastAsia" w:ascii="宋体" w:hAnsi="宋体" w:eastAsia="宋体" w:cs="宋体"/>
                <w:i w:val="0"/>
                <w:iCs w:val="0"/>
                <w:color w:val="000000"/>
                <w:kern w:val="0"/>
                <w:sz w:val="20"/>
                <w:szCs w:val="20"/>
                <w:u w:val="none"/>
                <w:lang w:val="en-US" w:eastAsia="zh-CN" w:bidi="ar"/>
              </w:rPr>
              <w:t xml:space="preserve">对单、双相抑郁障碍患者的病理机制进行描绘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探索单、双相抑郁障碍患者的病理机制</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已初步阐明单双相抑郁障碍的差异及可能机制</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4</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pPr>
          </w:p>
        </w:tc>
      </w:tr>
      <w:tr>
        <w:tblPrEx>
          <w:tblCellMar>
            <w:top w:w="0" w:type="dxa"/>
            <w:left w:w="108" w:type="dxa"/>
            <w:bottom w:w="0" w:type="dxa"/>
            <w:right w:w="108" w:type="dxa"/>
          </w:tblCellMar>
        </w:tblPrEx>
        <w:trPr>
          <w:trHeight w:val="833" w:hRule="exact"/>
          <w:jc w:val="center"/>
        </w:trPr>
        <w:tc>
          <w:tcPr>
            <w:tcW w:w="353"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c>
          <w:tcPr>
            <w:tcW w:w="318"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满意度</w:t>
            </w:r>
          </w:p>
          <w:p>
            <w:pPr>
              <w:widowControl/>
              <w:spacing w:line="240" w:lineRule="exact"/>
              <w:jc w:val="center"/>
              <w:rPr>
                <w:rFonts w:hint="eastAsia" w:ascii="宋体" w:hAnsi="宋体" w:cs="宋体"/>
                <w:kern w:val="0"/>
                <w:sz w:val="18"/>
                <w:szCs w:val="18"/>
              </w:rPr>
            </w:pPr>
            <w:r>
              <w:rPr>
                <w:rFonts w:hint="eastAsia" w:ascii="宋体" w:hAnsi="宋体" w:cs="宋体"/>
                <w:kern w:val="0"/>
                <w:sz w:val="18"/>
                <w:szCs w:val="18"/>
              </w:rPr>
              <w:t>指标</w:t>
            </w:r>
          </w:p>
          <w:p>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10分</w:t>
            </w:r>
          </w:p>
        </w:tc>
        <w:tc>
          <w:tcPr>
            <w:tcW w:w="426" w:type="pc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r>
              <w:rPr>
                <w:rFonts w:hint="eastAsia" w:ascii="宋体" w:hAnsi="宋体" w:cs="宋体"/>
                <w:kern w:val="0"/>
                <w:sz w:val="18"/>
                <w:szCs w:val="18"/>
              </w:rPr>
              <w:t>服务对象满意度指标</w:t>
            </w:r>
          </w:p>
        </w:tc>
        <w:tc>
          <w:tcPr>
            <w:tcW w:w="1455"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kern w:val="0"/>
                <w:sz w:val="18"/>
                <w:szCs w:val="18"/>
              </w:rPr>
            </w:pPr>
            <w:r>
              <w:rPr>
                <w:rFonts w:hint="eastAsia" w:ascii="宋体" w:hAnsi="宋体" w:eastAsia="宋体" w:cs="宋体"/>
                <w:i w:val="0"/>
                <w:iCs w:val="0"/>
                <w:color w:val="000000"/>
                <w:kern w:val="0"/>
                <w:sz w:val="20"/>
                <w:szCs w:val="20"/>
                <w:u w:val="none"/>
                <w:lang w:val="en-US" w:eastAsia="zh-CN" w:bidi="ar"/>
              </w:rPr>
              <w:t xml:space="preserve">团队研究人员/参与人员满意度 </w:t>
            </w:r>
          </w:p>
        </w:tc>
        <w:tc>
          <w:tcPr>
            <w:tcW w:w="630"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≥90%</w:t>
            </w:r>
          </w:p>
        </w:tc>
        <w:tc>
          <w:tcPr>
            <w:tcW w:w="638" w:type="pct"/>
            <w:gridSpan w:val="2"/>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≥90%</w:t>
            </w:r>
          </w:p>
        </w:tc>
        <w:tc>
          <w:tcPr>
            <w:tcW w:w="20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w:t>
            </w:r>
          </w:p>
        </w:tc>
        <w:tc>
          <w:tcPr>
            <w:tcW w:w="261" w:type="pct"/>
            <w:tcBorders>
              <w:top w:val="single" w:color="auto" w:sz="4" w:space="0"/>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hint="eastAsia"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10</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宋体" w:hAnsi="宋体" w:cs="宋体"/>
                <w:color w:val="000000"/>
                <w:kern w:val="0"/>
                <w:sz w:val="18"/>
                <w:szCs w:val="18"/>
              </w:rPr>
            </w:pPr>
          </w:p>
        </w:tc>
      </w:tr>
      <w:tr>
        <w:tblPrEx>
          <w:tblCellMar>
            <w:top w:w="0" w:type="dxa"/>
            <w:left w:w="108" w:type="dxa"/>
            <w:bottom w:w="0" w:type="dxa"/>
            <w:right w:w="108" w:type="dxa"/>
          </w:tblCellMar>
        </w:tblPrEx>
        <w:trPr>
          <w:trHeight w:val="486" w:hRule="exact"/>
          <w:jc w:val="center"/>
        </w:trPr>
        <w:tc>
          <w:tcPr>
            <w:tcW w:w="3823" w:type="pct"/>
            <w:gridSpan w:val="8"/>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总分</w:t>
            </w:r>
          </w:p>
        </w:tc>
        <w:tc>
          <w:tcPr>
            <w:tcW w:w="201" w:type="pct"/>
            <w:tcBorders>
              <w:top w:val="nil"/>
              <w:left w:val="nil"/>
              <w:bottom w:val="single" w:color="auto" w:sz="4" w:space="0"/>
              <w:right w:val="single" w:color="auto" w:sz="4" w:space="0"/>
            </w:tcBorders>
            <w:noWrap w:val="0"/>
            <w:vAlign w:val="center"/>
          </w:tcPr>
          <w:p>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100</w:t>
            </w:r>
          </w:p>
        </w:tc>
        <w:tc>
          <w:tcPr>
            <w:tcW w:w="261" w:type="pct"/>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center"/>
              <w:rPr>
                <w:rFonts w:ascii="宋体" w:hAnsi="宋体" w:cs="宋体"/>
                <w:color w:val="000000"/>
                <w:kern w:val="0"/>
                <w:sz w:val="18"/>
                <w:szCs w:val="18"/>
              </w:rPr>
            </w:pPr>
            <w:r>
              <w:rPr>
                <w:rFonts w:hint="eastAsia" w:ascii="宋体" w:hAnsi="宋体" w:eastAsia="宋体" w:cs="宋体"/>
                <w:i w:val="0"/>
                <w:iCs w:val="0"/>
                <w:color w:val="000000"/>
                <w:kern w:val="0"/>
                <w:sz w:val="20"/>
                <w:szCs w:val="20"/>
                <w:u w:val="none"/>
                <w:lang w:val="en-US" w:eastAsia="zh-CN" w:bidi="ar"/>
              </w:rPr>
              <w:t>99</w:t>
            </w:r>
          </w:p>
        </w:tc>
        <w:tc>
          <w:tcPr>
            <w:tcW w:w="713" w:type="pct"/>
            <w:gridSpan w:val="2"/>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ascii="宋体" w:hAnsi="宋体" w:cs="宋体"/>
                <w:kern w:val="0"/>
                <w:sz w:val="18"/>
                <w:szCs w:val="18"/>
              </w:rPr>
            </w:pP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mNzg3M2YyNzI2OWUwN2ZlM2M1MDc2ZTZlNGJjZTUifQ=="/>
  </w:docVars>
  <w:rsids>
    <w:rsidRoot w:val="28FF42C9"/>
    <w:rsid w:val="0167401F"/>
    <w:rsid w:val="044C53FF"/>
    <w:rsid w:val="1C46568C"/>
    <w:rsid w:val="28FF42C9"/>
    <w:rsid w:val="4132393A"/>
    <w:rsid w:val="4BE3315F"/>
    <w:rsid w:val="620F5241"/>
    <w:rsid w:val="63872CC8"/>
    <w:rsid w:val="6E7838C8"/>
    <w:rsid w:val="7AD43B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beforeAutospacing="0" w:afterAutospacing="0"/>
      <w:ind w:firstLine="670" w:firstLineChars="200"/>
      <w:jc w:val="left"/>
      <w:outlineLvl w:val="0"/>
    </w:pPr>
    <w:rPr>
      <w:rFonts w:hint="eastAsia" w:ascii="Times New Roman" w:hAnsi="Times New Roman" w:eastAsia="黑体" w:cs="Times New Roman"/>
      <w:kern w:val="44"/>
      <w:sz w:val="32"/>
      <w:szCs w:val="32"/>
    </w:rPr>
  </w:style>
  <w:style w:type="paragraph" w:styleId="3">
    <w:name w:val="heading 2"/>
    <w:basedOn w:val="1"/>
    <w:next w:val="1"/>
    <w:autoRedefine/>
    <w:qFormat/>
    <w:uiPriority w:val="0"/>
    <w:pPr>
      <w:keepNext/>
      <w:keepLines/>
      <w:spacing w:before="260" w:after="260" w:line="413" w:lineRule="auto"/>
      <w:outlineLvl w:val="1"/>
    </w:pPr>
    <w:rPr>
      <w:rFonts w:ascii="Arial" w:hAnsi="Arial" w:eastAsia="黑体"/>
      <w:b/>
      <w:sz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赵晔</cp:lastModifiedBy>
  <dcterms:modified xsi:type="dcterms:W3CDTF">2024-05-05T10:46:52Z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F03ACE3CE6D146728D76A4A7EDF0ACF2_11</vt:lpwstr>
  </property>
</Properties>
</file>