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/>
    <w:tbl>
      <w:tblPr>
        <w:tblStyle w:val="7"/>
        <w:tblW w:w="880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"/>
        <w:gridCol w:w="509"/>
        <w:gridCol w:w="1446"/>
        <w:gridCol w:w="26"/>
        <w:gridCol w:w="1897"/>
        <w:gridCol w:w="1165"/>
        <w:gridCol w:w="996"/>
        <w:gridCol w:w="243"/>
        <w:gridCol w:w="243"/>
        <w:gridCol w:w="541"/>
        <w:gridCol w:w="792"/>
        <w:gridCol w:w="5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8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808" w:type="dxa"/>
            <w:gridSpan w:val="12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9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友谊医院通州院区（含门诊部）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运行补助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34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17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首都医科大学附属北京友谊医院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1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534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刘昆</w:t>
            </w:r>
          </w:p>
        </w:tc>
        <w:tc>
          <w:tcPr>
            <w:tcW w:w="123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17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63138681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18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资金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47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8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18" w:type="dxa"/>
            <w:gridSpan w:val="2"/>
            <w:vMerge w:val="continue"/>
            <w:tcBorders>
              <w:left w:val="single" w:color="auto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8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3700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3700</w:t>
            </w:r>
          </w:p>
        </w:tc>
        <w:tc>
          <w:tcPr>
            <w:tcW w:w="123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3700</w:t>
            </w:r>
          </w:p>
        </w:tc>
        <w:tc>
          <w:tcPr>
            <w:tcW w:w="7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18" w:type="dxa"/>
            <w:gridSpan w:val="2"/>
            <w:vMerge w:val="continue"/>
            <w:tcBorders>
              <w:left w:val="single" w:color="auto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8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3700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3700</w:t>
            </w:r>
          </w:p>
        </w:tc>
        <w:tc>
          <w:tcPr>
            <w:tcW w:w="123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3700</w:t>
            </w:r>
          </w:p>
        </w:tc>
        <w:tc>
          <w:tcPr>
            <w:tcW w:w="7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18" w:type="dxa"/>
            <w:gridSpan w:val="2"/>
            <w:vMerge w:val="continue"/>
            <w:tcBorders>
              <w:left w:val="single" w:color="auto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上年结转资金</w:t>
            </w:r>
          </w:p>
        </w:tc>
        <w:tc>
          <w:tcPr>
            <w:tcW w:w="18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3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18" w:type="dxa"/>
            <w:gridSpan w:val="2"/>
            <w:vMerge w:val="continue"/>
            <w:tcBorders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8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6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23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784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7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40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4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6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  <w:jc w:val="center"/>
        </w:trPr>
        <w:tc>
          <w:tcPr>
            <w:tcW w:w="40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4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结合友谊医院本部基本运行现状，并结合通州院区中长期规划和年度工作计划，对友谊医院通州院区基本运行收支进行预测，合理组织医疗收入，有效使用财政补偿，保障医院能够顺利开业，并保证运行初期医院收支平衡和平稳运行，更好地满足城市副中心医疗服务需求。</w:t>
            </w:r>
          </w:p>
        </w:tc>
        <w:tc>
          <w:tcPr>
            <w:tcW w:w="33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有效使用财政补偿，保障医院能够顺利开业，并保证运行初期医院收支平衡和平稳运行，更好地满足城市副中心医疗服务需求。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0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50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44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23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年度</w:t>
            </w:r>
          </w:p>
        </w:tc>
        <w:tc>
          <w:tcPr>
            <w:tcW w:w="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实际</w:t>
            </w:r>
          </w:p>
        </w:tc>
        <w:tc>
          <w:tcPr>
            <w:tcW w:w="486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541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333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86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1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33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44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处方合格率</w:t>
            </w:r>
          </w:p>
        </w:tc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99.94%</w:t>
            </w:r>
          </w:p>
        </w:tc>
        <w:tc>
          <w:tcPr>
            <w:tcW w:w="4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医疗投诉及</w:t>
            </w: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纠纷化解率</w:t>
            </w:r>
          </w:p>
        </w:tc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≥80%</w:t>
            </w:r>
          </w:p>
        </w:tc>
        <w:tc>
          <w:tcPr>
            <w:tcW w:w="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85.71%</w:t>
            </w:r>
          </w:p>
        </w:tc>
        <w:tc>
          <w:tcPr>
            <w:tcW w:w="4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项目完成</w:t>
            </w:r>
          </w:p>
        </w:tc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≤12月</w:t>
            </w:r>
          </w:p>
        </w:tc>
        <w:tc>
          <w:tcPr>
            <w:tcW w:w="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3月</w:t>
            </w:r>
          </w:p>
        </w:tc>
        <w:tc>
          <w:tcPr>
            <w:tcW w:w="4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5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3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严格控制成本</w:t>
            </w:r>
          </w:p>
        </w:tc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3700万元</w:t>
            </w:r>
          </w:p>
        </w:tc>
        <w:tc>
          <w:tcPr>
            <w:tcW w:w="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3700万元</w:t>
            </w:r>
          </w:p>
        </w:tc>
        <w:tc>
          <w:tcPr>
            <w:tcW w:w="4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44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经济效益</w:t>
            </w:r>
          </w:p>
        </w:tc>
        <w:tc>
          <w:tcPr>
            <w:tcW w:w="19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收入结构合理</w:t>
            </w:r>
          </w:p>
        </w:tc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0"/>
                <w:szCs w:val="20"/>
              </w:rPr>
              <w:t>定性</w:t>
            </w:r>
          </w:p>
        </w:tc>
        <w:tc>
          <w:tcPr>
            <w:tcW w:w="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良好</w:t>
            </w:r>
          </w:p>
        </w:tc>
        <w:tc>
          <w:tcPr>
            <w:tcW w:w="4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19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护理安全（不良）事件上报</w:t>
            </w:r>
          </w:p>
        </w:tc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≥100%</w:t>
            </w:r>
          </w:p>
        </w:tc>
        <w:tc>
          <w:tcPr>
            <w:tcW w:w="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4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生态效益</w:t>
            </w:r>
          </w:p>
        </w:tc>
        <w:tc>
          <w:tcPr>
            <w:tcW w:w="19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环境效益</w:t>
            </w:r>
          </w:p>
        </w:tc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0"/>
                <w:szCs w:val="20"/>
              </w:rPr>
              <w:t>定性</w:t>
            </w:r>
          </w:p>
        </w:tc>
        <w:tc>
          <w:tcPr>
            <w:tcW w:w="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良好</w:t>
            </w:r>
          </w:p>
        </w:tc>
        <w:tc>
          <w:tcPr>
            <w:tcW w:w="4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446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患者满意度</w:t>
            </w:r>
          </w:p>
        </w:tc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≥90%</w:t>
            </w:r>
          </w:p>
        </w:tc>
        <w:tc>
          <w:tcPr>
            <w:tcW w:w="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91.01%　</w:t>
            </w:r>
          </w:p>
        </w:tc>
        <w:tc>
          <w:tcPr>
            <w:tcW w:w="4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职工满意度</w:t>
            </w:r>
          </w:p>
        </w:tc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≥92%</w:t>
            </w:r>
          </w:p>
        </w:tc>
        <w:tc>
          <w:tcPr>
            <w:tcW w:w="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94.41%　</w:t>
            </w:r>
          </w:p>
        </w:tc>
        <w:tc>
          <w:tcPr>
            <w:tcW w:w="4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4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  <w:t>总分</w:t>
            </w:r>
          </w:p>
        </w:tc>
        <w:tc>
          <w:tcPr>
            <w:tcW w:w="192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3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FmZWIzNDg2MmIzZjExOTIzMmViNTBmYTMwYTk0ZWYifQ=="/>
  </w:docVars>
  <w:rsids>
    <w:rsidRoot w:val="28FF42C9"/>
    <w:rsid w:val="002004D5"/>
    <w:rsid w:val="002005F2"/>
    <w:rsid w:val="00202040"/>
    <w:rsid w:val="00407308"/>
    <w:rsid w:val="00433DDC"/>
    <w:rsid w:val="006070B1"/>
    <w:rsid w:val="007A285A"/>
    <w:rsid w:val="007B129A"/>
    <w:rsid w:val="008663E0"/>
    <w:rsid w:val="00B63921"/>
    <w:rsid w:val="00B80CDF"/>
    <w:rsid w:val="00BD0B5B"/>
    <w:rsid w:val="00BF570C"/>
    <w:rsid w:val="00D00DA4"/>
    <w:rsid w:val="00DB0A06"/>
    <w:rsid w:val="00DE4EB5"/>
    <w:rsid w:val="0167401F"/>
    <w:rsid w:val="0B4F7111"/>
    <w:rsid w:val="1C46568C"/>
    <w:rsid w:val="28FF42C9"/>
    <w:rsid w:val="4D7B0FB6"/>
    <w:rsid w:val="63872CC8"/>
    <w:rsid w:val="6E7838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D9577-1C94-4AA9-8D5F-585852595C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</Words>
  <Characters>721</Characters>
  <Lines>6</Lines>
  <Paragraphs>1</Paragraphs>
  <TotalTime>7</TotalTime>
  <ScaleCrop>false</ScaleCrop>
  <LinksUpToDate>false</LinksUpToDate>
  <CharactersWithSpaces>846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2024-06-05T07:07:28Z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