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200" w:type="dxa"/>
        <w:jc w:val="center"/>
        <w:tblInd w:w="95" w:type="dxa"/>
        <w:tblLook w:val="04A0"/>
      </w:tblPr>
      <w:tblGrid>
        <w:gridCol w:w="460"/>
        <w:gridCol w:w="380"/>
        <w:gridCol w:w="600"/>
        <w:gridCol w:w="740"/>
        <w:gridCol w:w="820"/>
        <w:gridCol w:w="40"/>
        <w:gridCol w:w="1240"/>
        <w:gridCol w:w="1540"/>
        <w:gridCol w:w="680"/>
        <w:gridCol w:w="340"/>
        <w:gridCol w:w="680"/>
        <w:gridCol w:w="160"/>
        <w:gridCol w:w="640"/>
        <w:gridCol w:w="880"/>
      </w:tblGrid>
      <w:tr w:rsidR="007D1CDB" w:rsidRPr="007D1CDB" w:rsidTr="007D1CDB">
        <w:trPr>
          <w:trHeight w:val="600"/>
          <w:jc w:val="center"/>
        </w:trPr>
        <w:tc>
          <w:tcPr>
            <w:tcW w:w="9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32"/>
                <w:szCs w:val="32"/>
              </w:rPr>
            </w:pPr>
            <w:r w:rsidRPr="007D1CDB">
              <w:rPr>
                <w:rFonts w:ascii="宋体" w:eastAsia="宋体" w:hAnsi="宋体" w:cs="宋体" w:hint="eastAsia"/>
                <w:b/>
                <w:bCs/>
                <w:kern w:val="0"/>
                <w:sz w:val="32"/>
                <w:szCs w:val="32"/>
              </w:rPr>
              <w:t>项目支出绩效自评表（事业发展专项计划类）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9200" w:type="dxa"/>
            <w:gridSpan w:val="1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b/>
                <w:bCs/>
                <w:kern w:val="0"/>
                <w:sz w:val="22"/>
              </w:rPr>
            </w:pPr>
            <w:r w:rsidRPr="007D1CDB">
              <w:rPr>
                <w:rFonts w:ascii="宋体" w:eastAsia="宋体" w:hAnsi="宋体" w:cs="宋体" w:hint="eastAsia"/>
                <w:b/>
                <w:bCs/>
                <w:kern w:val="0"/>
                <w:sz w:val="22"/>
              </w:rPr>
              <w:t>（2021年度）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项目名称</w:t>
            </w:r>
          </w:p>
        </w:tc>
        <w:tc>
          <w:tcPr>
            <w:tcW w:w="8360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市属医院学科发展-消化协同项目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主管部门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科技处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实施单位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首都医科大学附属北京友谊医院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项目负责人</w:t>
            </w:r>
          </w:p>
        </w:tc>
        <w:tc>
          <w:tcPr>
            <w:tcW w:w="344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辛有清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联系电话</w:t>
            </w:r>
          </w:p>
        </w:tc>
        <w:tc>
          <w:tcPr>
            <w:tcW w:w="270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15853237055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项目资金（万元）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年初预算数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全年预算数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全年执行数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分值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执行率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得分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年度资金总额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499.2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499.2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102.66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21%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8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其中：当年财政拨款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499.2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499.2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102.66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上年结转资金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8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其他资金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2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2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—</w:t>
            </w:r>
          </w:p>
        </w:tc>
      </w:tr>
      <w:tr w:rsidR="007D1CDB" w:rsidRPr="007D1CDB" w:rsidTr="007D1CDB">
        <w:trPr>
          <w:trHeight w:val="379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年度总体目标</w:t>
            </w:r>
          </w:p>
        </w:tc>
        <w:tc>
          <w:tcPr>
            <w:tcW w:w="3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预期目标</w:t>
            </w:r>
          </w:p>
        </w:tc>
        <w:tc>
          <w:tcPr>
            <w:tcW w:w="4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实际完成情况</w:t>
            </w:r>
          </w:p>
        </w:tc>
      </w:tr>
      <w:tr w:rsidR="007D1CDB" w:rsidRPr="007D1CDB" w:rsidTr="007D1CDB">
        <w:trPr>
          <w:trHeight w:val="204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2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中心已进入平稳发展期，各类项目进展顺利。重点项目进入项目中后期，特色项目进入结题年，各课题逐渐产出一部分研究成果，指导临床实践；依托协作创新项目搭建的各类平台成熟度逐渐增强，通过临床路径推广、消化系统疾病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绿通标准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制定、消化内镜进修逐步提升中心临床同质化水平；根据中心各单位实际需求，举办肝脏病理大师班、北京消化疾病国际论坛、临床方法学、病理诊断、生物样本管理等规范化培训，为市属医院逐步培养一批青年人才，逐步提升市属医院消化内科学科科技创新能力。</w:t>
            </w:r>
          </w:p>
        </w:tc>
        <w:tc>
          <w:tcPr>
            <w:tcW w:w="4920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中心继续完善科研项目管理机制，将管理工作从发展、建设、创新、服务、管理多方位全面细化，举办项目督导会，强化精细化过程管理。人才培养继续秉承“抓两头，带中间”的理念，夯基筑台、软硬结合，加强院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间学术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交流，2021年共举办学术会议37次，培训人次6641人，围绕消化学科人才培养，给政策、建体系、出举措，引优育强，积极储备中心临床+科研复合型人才。中心样本库信息管理系统2021年已完成云端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版开发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和安全测试，通过认证机构再次评审获得ISO9001认证，于11月在全国已率先通过CNAS组织的样本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库质量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和能力认可的现场评审 ，《消化内镜诊治标准术语集》2021年通过国家卫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健委行业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标准立项，并嵌入北京友谊医院内镜系统应用。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绩效指标</w:t>
            </w: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一级指标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二级指标</w:t>
            </w:r>
          </w:p>
        </w:tc>
        <w:tc>
          <w:tcPr>
            <w:tcW w:w="160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三级指标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年度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实际</w:t>
            </w:r>
          </w:p>
        </w:tc>
        <w:tc>
          <w:tcPr>
            <w:tcW w:w="10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分值</w:t>
            </w:r>
          </w:p>
        </w:tc>
        <w:tc>
          <w:tcPr>
            <w:tcW w:w="8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得分</w:t>
            </w:r>
          </w:p>
        </w:tc>
        <w:tc>
          <w:tcPr>
            <w:tcW w:w="15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偏差原因分析及改进措施</w:t>
            </w:r>
          </w:p>
        </w:tc>
      </w:tr>
      <w:tr w:rsidR="007D1CDB" w:rsidRPr="007D1CDB" w:rsidTr="007D1CDB">
        <w:trPr>
          <w:trHeight w:val="402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指标值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完成值</w:t>
            </w:r>
          </w:p>
        </w:tc>
        <w:tc>
          <w:tcPr>
            <w:tcW w:w="102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84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520" w:type="dxa"/>
            <w:gridSpan w:val="2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产出指标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数量指标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面向中心成员单位培训班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6次，150人次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37次，6641人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申请专利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大于1项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16项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培养博士研究生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约4人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43人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3.5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培养硕士研究生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约28人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102人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3.5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培养专业技术人员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大于2人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48人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739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质量指标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平均单篇影响因子（IF）分值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平均影响因子（IF）≥2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2021年中心共产出SCI文142篇，SCI文章平均影响因子达4.99。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85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提升诊疗同质化水平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至少向4家成员单位推广2种备选病种临床诊疗路径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疫情影响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未推广</w:t>
            </w:r>
            <w:proofErr w:type="gramEnd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受疫情影响暂未推进，2022年继续在中心成员单位推广临床诊疗路径。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培训合格率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大于90%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94%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175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进度指标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着重推进消化协同中心各类平台建设任务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2021年6月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已完成，消化协同中心共10个平台项目课题，中心于2021年分别约谈课题负责人，并举办消化协同中心平台项目督导会。同时，中心大力推进远程平台、样本库系统、消化系统疾病分子检测平台的建设。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推动中心人才境外进修遴选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2021年7月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疫情影响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未推广</w:t>
            </w:r>
            <w:proofErr w:type="gramEnd"/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受疫情影响暂未推进，2022年视疫情情况推进。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进行半年自评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2021年7月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已完成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186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视各平台成熟度，遴选优质平台向成员单位进行推广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2021年10月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分别约谈中心各平台负责人，并举办平台项目督导会。同时，中心管理办公室赴北京老年医院进行优秀平台推广，并协调临床医师、信息中心推进远程示教平台、样本库系统、消化系统疾病分子检测平台的建设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消化协同专项项目年度自评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2021年12月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已完成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3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成本指标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严格控制在预算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499.20万元内</w:t>
            </w:r>
          </w:p>
        </w:tc>
        <w:tc>
          <w:tcPr>
            <w:tcW w:w="1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已完成，支出率达100%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6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6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1785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6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效益指标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遗传代谢性肝病基因诊断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提供技术支持和诊断建设平台，推广阶段为至少3家市属单位提供样本检测服务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中心分子检测平台为消化协同中心6家成员单位（北京友谊医院、北京佑安医院、北京儿童医院、首都儿研所、北京地坛医院、北京朝阳医院）提供了基因检测平台服务，2021年共完成115例遗传代谢性肝病相关标本的基因检测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8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9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遗传代谢性肝病基因突变的诊断方法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推广创新，2021年举办至少1场诊断技术培训班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未举办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受疫情影响暂未推进，2022年将转为线上培训。</w:t>
            </w:r>
          </w:p>
        </w:tc>
      </w:tr>
      <w:tr w:rsidR="007D1CDB" w:rsidRPr="007D1CDB" w:rsidTr="007D1CDB">
        <w:trPr>
          <w:trHeight w:val="237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项目搭建的平台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长期应用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于登记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注册研究、临床科学研究及临床研究监察使用，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样本库线上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管理平台1个，临床研究一体化平台1套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2021年继续期应用结直肠癌、食管癌、胃癌登记注册研究平台（2021年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食管早癌入组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60例，随访120人次；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胃早癌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入组107例，随访210人次；结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直肠早癌入组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92例，随访103人次。），并不断完善“有易”样本库已完成云端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版开发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以及临床研究一体化平台进行进一步优化，已开发门诊预约模快。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1519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项目拟建立部分疾病诊断模型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提高治疗该疾病的效力，制定消化内镜诊疗用语集1套，消化病理质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控方案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1套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中心专家组织编写我国第一个消化内镜诊治标准术语集—《消化内镜诊治标准术语集》，目前该标准已通过国家卫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健委行业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标准立项，已建立消化病理质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控方案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1套。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8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8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228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项目多中心人群数据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建立食管癌、胃癌、结直肠癌风险预测模型，根据食管癌、胃癌、结直肠癌数据出具3个疾病的危险因素分析报告，为建立预测模型进行预测试。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中心在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消化道早癌和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癌前疾病专病队列的基础上，结合全方位的人口学资料、内镜病理信息等各类数据，重点关注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消化道早癌和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癌前疾病发生的危险因素，收集了一般临床资料、疾病信息、随访信息等，建立了食管、胃、结</w:t>
            </w:r>
            <w:proofErr w:type="gramStart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直肠早癌预后</w:t>
            </w:r>
            <w:proofErr w:type="gramEnd"/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预测模型，并出具3个疾病的危险因素分析报告。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5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1080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6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通过资助中心中青年骨干国内外进修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长期提升中心中青年人才学术视野、技术能力。出国人员管理正常化后，派出1-2名骨干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未完成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2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受疫情影响暂未推进，2022年视疫情情况推进。</w:t>
            </w:r>
          </w:p>
        </w:tc>
      </w:tr>
      <w:tr w:rsidR="007D1CDB" w:rsidRPr="007D1CDB" w:rsidTr="007D1CDB">
        <w:trPr>
          <w:trHeight w:val="762"/>
          <w:jc w:val="center"/>
        </w:trPr>
        <w:tc>
          <w:tcPr>
            <w:tcW w:w="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</w:p>
        </w:tc>
        <w:tc>
          <w:tcPr>
            <w:tcW w:w="3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满意度指标</w:t>
            </w:r>
          </w:p>
        </w:tc>
        <w:tc>
          <w:tcPr>
            <w:tcW w:w="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服务对象满意度指标</w:t>
            </w:r>
          </w:p>
        </w:tc>
        <w:tc>
          <w:tcPr>
            <w:tcW w:w="160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科研人员满意度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达到90%</w:t>
            </w:r>
          </w:p>
        </w:tc>
        <w:tc>
          <w:tcPr>
            <w:tcW w:w="1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91.67%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  <w:tr w:rsidR="007D1CDB" w:rsidRPr="007D1CDB" w:rsidTr="007D1CDB">
        <w:trPr>
          <w:trHeight w:val="600"/>
          <w:jc w:val="center"/>
        </w:trPr>
        <w:tc>
          <w:tcPr>
            <w:tcW w:w="5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总分</w:t>
            </w:r>
          </w:p>
        </w:tc>
        <w:tc>
          <w:tcPr>
            <w:tcW w:w="10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100</w:t>
            </w:r>
          </w:p>
        </w:tc>
        <w:tc>
          <w:tcPr>
            <w:tcW w:w="8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center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>88</w:t>
            </w:r>
          </w:p>
        </w:tc>
        <w:tc>
          <w:tcPr>
            <w:tcW w:w="1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D1CDB" w:rsidRPr="007D1CDB" w:rsidRDefault="007D1CDB" w:rsidP="007D1CDB">
            <w:pPr>
              <w:widowControl/>
              <w:jc w:val="left"/>
              <w:rPr>
                <w:rFonts w:ascii="宋体" w:eastAsia="宋体" w:hAnsi="宋体" w:cs="宋体"/>
                <w:kern w:val="0"/>
                <w:sz w:val="12"/>
                <w:szCs w:val="12"/>
              </w:rPr>
            </w:pPr>
            <w:r w:rsidRPr="007D1CDB">
              <w:rPr>
                <w:rFonts w:ascii="宋体" w:eastAsia="宋体" w:hAnsi="宋体" w:cs="宋体" w:hint="eastAsia"/>
                <w:kern w:val="0"/>
                <w:sz w:val="12"/>
                <w:szCs w:val="12"/>
              </w:rPr>
              <w:t xml:space="preserve">　</w:t>
            </w:r>
          </w:p>
        </w:tc>
      </w:tr>
    </w:tbl>
    <w:p w:rsidR="00C959FE" w:rsidRDefault="00C959FE"/>
    <w:sectPr w:rsidR="00C959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D1CDB"/>
    <w:rsid w:val="007D1CDB"/>
    <w:rsid w:val="00C959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83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395</Words>
  <Characters>2253</Characters>
  <Application>Microsoft Office Word</Application>
  <DocSecurity>0</DocSecurity>
  <Lines>18</Lines>
  <Paragraphs>5</Paragraphs>
  <ScaleCrop>false</ScaleCrop>
  <Company/>
  <LinksUpToDate>false</LinksUpToDate>
  <CharactersWithSpaces>2643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2022-05-13T02:49:00Z</dcterms:created>
  <dcterms:modified xsi:type="dcterms:W3CDTF">2022-05-13T02:51:00Z</dcterms:modified>
</cp:coreProperties>
</file>