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812" w:type="dxa"/>
        <w:tblLayout w:type="fixed"/>
        <w:tblCellMar>
          <w:top w:w="15" w:type="dxa"/>
          <w:left w:w="15" w:type="dxa"/>
          <w:bottom w:w="15" w:type="dxa"/>
          <w:right w:w="15" w:type="dxa"/>
        </w:tblCellMar>
        <w:tblLook w:val="04A0"/>
      </w:tblPr>
      <w:tblGrid>
        <w:gridCol w:w="1101"/>
        <w:gridCol w:w="1011"/>
        <w:gridCol w:w="1920"/>
        <w:gridCol w:w="1500"/>
        <w:gridCol w:w="150"/>
        <w:gridCol w:w="1305"/>
        <w:gridCol w:w="1755"/>
        <w:gridCol w:w="1170"/>
        <w:gridCol w:w="1155"/>
        <w:gridCol w:w="855"/>
        <w:gridCol w:w="1890"/>
      </w:tblGrid>
      <w:tr w:rsidR="00F70FE2">
        <w:trPr>
          <w:trHeight w:val="405"/>
        </w:trPr>
        <w:tc>
          <w:tcPr>
            <w:tcW w:w="13812" w:type="dxa"/>
            <w:gridSpan w:val="11"/>
            <w:shd w:val="clear" w:color="auto" w:fill="auto"/>
            <w:vAlign w:val="center"/>
          </w:tcPr>
          <w:p w:rsidR="00F70FE2" w:rsidRDefault="00DE4DB6">
            <w:pPr>
              <w:widowControl/>
              <w:jc w:val="center"/>
              <w:textAlignment w:val="center"/>
              <w:rPr>
                <w:rFonts w:ascii="宋体" w:eastAsia="宋体" w:hAnsi="宋体" w:cs="宋体"/>
                <w:b/>
                <w:color w:val="000000"/>
                <w:sz w:val="32"/>
                <w:szCs w:val="32"/>
              </w:rPr>
            </w:pPr>
            <w:r>
              <w:rPr>
                <w:rFonts w:ascii="宋体" w:eastAsia="宋体" w:hAnsi="宋体" w:cs="宋体" w:hint="eastAsia"/>
                <w:b/>
                <w:color w:val="000000"/>
                <w:kern w:val="0"/>
                <w:sz w:val="32"/>
                <w:szCs w:val="32"/>
              </w:rPr>
              <w:t>项目支出绩效自评表</w:t>
            </w:r>
          </w:p>
        </w:tc>
      </w:tr>
      <w:tr w:rsidR="00F70FE2">
        <w:trPr>
          <w:trHeight w:val="301"/>
        </w:trPr>
        <w:tc>
          <w:tcPr>
            <w:tcW w:w="13812" w:type="dxa"/>
            <w:gridSpan w:val="11"/>
            <w:shd w:val="clear" w:color="auto" w:fill="auto"/>
          </w:tcPr>
          <w:p w:rsidR="00F70FE2" w:rsidRDefault="00DE4DB6">
            <w:pPr>
              <w:widowControl/>
              <w:jc w:val="center"/>
              <w:textAlignment w:val="top"/>
              <w:rPr>
                <w:rFonts w:ascii="宋体" w:eastAsia="宋体" w:hAnsi="宋体" w:cs="宋体"/>
                <w:color w:val="000000"/>
                <w:sz w:val="22"/>
                <w:szCs w:val="22"/>
              </w:rPr>
            </w:pPr>
            <w:r>
              <w:rPr>
                <w:rFonts w:ascii="宋体" w:eastAsia="宋体" w:hAnsi="宋体" w:cs="宋体" w:hint="eastAsia"/>
                <w:color w:val="000000"/>
                <w:kern w:val="0"/>
                <w:sz w:val="22"/>
                <w:szCs w:val="22"/>
              </w:rPr>
              <w:t>（</w:t>
            </w:r>
            <w:r>
              <w:rPr>
                <w:rFonts w:ascii="宋体" w:eastAsia="宋体" w:hAnsi="宋体" w:cs="宋体" w:hint="eastAsia"/>
                <w:color w:val="000000"/>
                <w:kern w:val="0"/>
                <w:sz w:val="22"/>
                <w:szCs w:val="22"/>
              </w:rPr>
              <w:t xml:space="preserve">   2021 </w:t>
            </w:r>
            <w:r>
              <w:rPr>
                <w:rFonts w:ascii="宋体" w:eastAsia="宋体" w:hAnsi="宋体" w:cs="宋体" w:hint="eastAsia"/>
                <w:color w:val="000000"/>
                <w:kern w:val="0"/>
                <w:sz w:val="22"/>
                <w:szCs w:val="22"/>
              </w:rPr>
              <w:t>年度）</w:t>
            </w:r>
          </w:p>
        </w:tc>
      </w:tr>
      <w:tr w:rsidR="00F70FE2">
        <w:trPr>
          <w:trHeight w:val="259"/>
        </w:trPr>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项目名称</w:t>
            </w:r>
          </w:p>
        </w:tc>
        <w:tc>
          <w:tcPr>
            <w:tcW w:w="1170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市属医院学科发展</w:t>
            </w:r>
          </w:p>
        </w:tc>
      </w:tr>
      <w:tr w:rsidR="00F70FE2">
        <w:trPr>
          <w:trHeight w:val="154"/>
        </w:trPr>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主管部门</w:t>
            </w:r>
          </w:p>
        </w:tc>
        <w:tc>
          <w:tcPr>
            <w:tcW w:w="48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北京市医院管理中心</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实施单位</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首都医科大学附属北京同仁医院</w:t>
            </w:r>
          </w:p>
        </w:tc>
      </w:tr>
      <w:tr w:rsidR="00F70FE2">
        <w:trPr>
          <w:trHeight w:val="206"/>
        </w:trPr>
        <w:tc>
          <w:tcPr>
            <w:tcW w:w="21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项目负责人</w:t>
            </w:r>
          </w:p>
        </w:tc>
        <w:tc>
          <w:tcPr>
            <w:tcW w:w="48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焦永红</w:t>
            </w:r>
            <w:r>
              <w:rPr>
                <w:rFonts w:ascii="宋体" w:eastAsia="宋体" w:hAnsi="宋体" w:cs="宋体" w:hint="eastAsia"/>
                <w:color w:val="000000"/>
                <w:kern w:val="0"/>
                <w:sz w:val="18"/>
                <w:szCs w:val="18"/>
              </w:rPr>
              <w:t xml:space="preserve">  </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联系电话</w:t>
            </w:r>
          </w:p>
        </w:tc>
        <w:tc>
          <w:tcPr>
            <w:tcW w:w="50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13051612248</w:t>
            </w:r>
          </w:p>
        </w:tc>
      </w:tr>
      <w:tr w:rsidR="00F70FE2">
        <w:trPr>
          <w:trHeight w:val="301"/>
        </w:trPr>
        <w:tc>
          <w:tcPr>
            <w:tcW w:w="2112" w:type="dxa"/>
            <w:gridSpan w:val="2"/>
            <w:vMerge w:val="restart"/>
            <w:tcBorders>
              <w:top w:val="single" w:sz="4" w:space="0" w:color="000000"/>
              <w:left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项目资金</w:t>
            </w:r>
          </w:p>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（万元）</w:t>
            </w: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bookmarkStart w:id="0" w:name="_GoBack"/>
            <w:bookmarkEnd w:id="0"/>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年初预算数</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全年预算数</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全年执行数</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分值</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执行率</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得分</w:t>
            </w:r>
          </w:p>
        </w:tc>
      </w:tr>
      <w:tr w:rsidR="00F70FE2">
        <w:trPr>
          <w:trHeight w:val="301"/>
        </w:trPr>
        <w:tc>
          <w:tcPr>
            <w:tcW w:w="2112" w:type="dxa"/>
            <w:gridSpan w:val="2"/>
            <w:vMerge/>
            <w:tcBorders>
              <w:left w:val="single" w:sz="4" w:space="0" w:color="000000"/>
              <w:right w:val="single" w:sz="4" w:space="0" w:color="000000"/>
            </w:tcBorders>
            <w:shd w:val="clear" w:color="auto" w:fill="auto"/>
            <w:vAlign w:val="center"/>
          </w:tcPr>
          <w:p w:rsidR="00F70FE2" w:rsidRDefault="00F70FE2">
            <w:pPr>
              <w:widowControl/>
              <w:jc w:val="center"/>
              <w:textAlignment w:val="center"/>
              <w:rPr>
                <w:rFonts w:ascii="宋体" w:eastAsia="宋体" w:hAnsi="宋体" w:cs="宋体"/>
                <w:color w:val="000000"/>
                <w:sz w:val="18"/>
                <w:szCs w:val="18"/>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年度资金总额</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r>
      <w:tr w:rsidR="00F70FE2">
        <w:trPr>
          <w:trHeight w:val="593"/>
        </w:trPr>
        <w:tc>
          <w:tcPr>
            <w:tcW w:w="2112" w:type="dxa"/>
            <w:gridSpan w:val="2"/>
            <w:vMerge/>
            <w:tcBorders>
              <w:left w:val="single" w:sz="4" w:space="0" w:color="000000"/>
              <w:right w:val="single" w:sz="4" w:space="0" w:color="000000"/>
            </w:tcBorders>
            <w:shd w:val="clear" w:color="auto" w:fill="auto"/>
            <w:vAlign w:val="center"/>
          </w:tcPr>
          <w:p w:rsidR="00F70FE2" w:rsidRDefault="00F70FE2">
            <w:pPr>
              <w:rPr>
                <w:rFonts w:ascii="宋体" w:eastAsia="宋体" w:hAnsi="宋体" w:cs="宋体"/>
                <w:color w:val="000000"/>
                <w:sz w:val="18"/>
                <w:szCs w:val="18"/>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其中：当年财政拨款</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r>
      <w:tr w:rsidR="00F70FE2">
        <w:trPr>
          <w:trHeight w:val="301"/>
        </w:trPr>
        <w:tc>
          <w:tcPr>
            <w:tcW w:w="2112" w:type="dxa"/>
            <w:gridSpan w:val="2"/>
            <w:vMerge/>
            <w:tcBorders>
              <w:left w:val="single" w:sz="4" w:space="0" w:color="000000"/>
              <w:right w:val="single" w:sz="4" w:space="0" w:color="000000"/>
            </w:tcBorders>
            <w:shd w:val="clear" w:color="auto" w:fill="auto"/>
            <w:vAlign w:val="center"/>
          </w:tcPr>
          <w:p w:rsidR="00F70FE2" w:rsidRDefault="00F70FE2">
            <w:pPr>
              <w:rPr>
                <w:rFonts w:ascii="宋体" w:eastAsia="宋体" w:hAnsi="宋体" w:cs="宋体"/>
                <w:color w:val="000000"/>
                <w:sz w:val="18"/>
                <w:szCs w:val="18"/>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w:t>
            </w:r>
            <w:r>
              <w:rPr>
                <w:rFonts w:ascii="宋体" w:eastAsia="宋体" w:hAnsi="宋体" w:cs="宋体" w:hint="eastAsia"/>
                <w:color w:val="000000"/>
                <w:kern w:val="0"/>
                <w:sz w:val="18"/>
                <w:szCs w:val="18"/>
              </w:rPr>
              <w:t>上年结转资金</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r>
      <w:tr w:rsidR="00F70FE2">
        <w:trPr>
          <w:trHeight w:val="301"/>
        </w:trPr>
        <w:tc>
          <w:tcPr>
            <w:tcW w:w="2112" w:type="dxa"/>
            <w:gridSpan w:val="2"/>
            <w:vMerge/>
            <w:tcBorders>
              <w:left w:val="single" w:sz="4" w:space="0" w:color="000000"/>
              <w:bottom w:val="single" w:sz="4" w:space="0" w:color="000000"/>
              <w:right w:val="single" w:sz="4" w:space="0" w:color="000000"/>
            </w:tcBorders>
            <w:shd w:val="clear" w:color="auto" w:fill="auto"/>
            <w:vAlign w:val="center"/>
          </w:tcPr>
          <w:p w:rsidR="00F70FE2" w:rsidRDefault="00F70FE2">
            <w:pPr>
              <w:rPr>
                <w:rFonts w:ascii="宋体" w:eastAsia="宋体" w:hAnsi="宋体" w:cs="宋体"/>
                <w:color w:val="000000"/>
                <w:sz w:val="18"/>
                <w:szCs w:val="18"/>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 xml:space="preserve">  </w:t>
            </w:r>
            <w:r>
              <w:rPr>
                <w:rFonts w:ascii="宋体" w:eastAsia="宋体" w:hAnsi="宋体" w:cs="宋体" w:hint="eastAsia"/>
                <w:color w:val="000000"/>
                <w:kern w:val="0"/>
                <w:sz w:val="18"/>
                <w:szCs w:val="18"/>
              </w:rPr>
              <w:t>其他资金</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20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r>
      <w:tr w:rsidR="00F70FE2">
        <w:trPr>
          <w:trHeight w:val="301"/>
        </w:trPr>
        <w:tc>
          <w:tcPr>
            <w:tcW w:w="11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年度总体目标</w:t>
            </w:r>
          </w:p>
        </w:tc>
        <w:tc>
          <w:tcPr>
            <w:tcW w:w="58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预期目标</w:t>
            </w:r>
          </w:p>
        </w:tc>
        <w:tc>
          <w:tcPr>
            <w:tcW w:w="68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实际完成情况</w:t>
            </w:r>
          </w:p>
        </w:tc>
      </w:tr>
      <w:tr w:rsidR="00F70FE2">
        <w:trPr>
          <w:trHeight w:val="870"/>
        </w:trPr>
        <w:tc>
          <w:tcPr>
            <w:tcW w:w="11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58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通过开展一系列关于优化、创新和规范五官科麻醉气道和循环管理技术的系列大样本临床研究，制定五官科麻醉气道与循环管理的技术规范和指南；将临床研究结果和技术规范在全国推广，带动全国五官科麻醉专业水平的提高；在进行临床研究、规范制定、技术推广的过程中，培养同仁麻醉的临床、科研、教学的人才梯队，并最终提升同仁麻醉科在全国的学术地位等</w:t>
            </w:r>
            <w:r w:rsidR="00514925">
              <w:rPr>
                <w:rFonts w:ascii="宋体" w:eastAsia="宋体" w:hAnsi="宋体" w:cs="宋体" w:hint="eastAsia"/>
                <w:color w:val="000000"/>
                <w:kern w:val="0"/>
                <w:sz w:val="18"/>
                <w:szCs w:val="18"/>
              </w:rPr>
              <w:t>。</w:t>
            </w:r>
          </w:p>
        </w:tc>
        <w:tc>
          <w:tcPr>
            <w:tcW w:w="68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通过开展一系列关于优化、创新和规范五官科麻醉气道和循环管理技术的系列大样本临床研究，制定五官科麻醉气道与循环管理的技术规范和指南；将临床研究结果和技术规范在全国推广，带动全国五官科麻醉专业水平的提高；在进行临床研究、规范制定、技术推广的过程中，培养同仁麻醉的临床、科研、教学的人才梯队，并最终提升同仁麻醉科在全国的学术地位等</w:t>
            </w:r>
            <w:r w:rsidR="00514925">
              <w:rPr>
                <w:rFonts w:ascii="宋体" w:eastAsia="宋体" w:hAnsi="宋体" w:cs="宋体" w:hint="eastAsia"/>
                <w:color w:val="000000"/>
                <w:kern w:val="0"/>
                <w:sz w:val="18"/>
                <w:szCs w:val="18"/>
              </w:rPr>
              <w:t>。</w:t>
            </w:r>
          </w:p>
        </w:tc>
      </w:tr>
      <w:tr w:rsidR="00F70FE2">
        <w:trPr>
          <w:trHeight w:val="342"/>
        </w:trPr>
        <w:tc>
          <w:tcPr>
            <w:tcW w:w="1101"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绩</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t>效</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t>指</w:t>
            </w:r>
            <w:r>
              <w:rPr>
                <w:rFonts w:ascii="宋体" w:eastAsia="宋体" w:hAnsi="宋体" w:cs="宋体" w:hint="eastAsia"/>
                <w:color w:val="000000"/>
                <w:kern w:val="0"/>
                <w:sz w:val="18"/>
                <w:szCs w:val="18"/>
              </w:rPr>
              <w:br/>
            </w:r>
            <w:r>
              <w:rPr>
                <w:rFonts w:ascii="宋体" w:eastAsia="宋体" w:hAnsi="宋体" w:cs="宋体" w:hint="eastAsia"/>
                <w:color w:val="000000"/>
                <w:kern w:val="0"/>
                <w:sz w:val="18"/>
                <w:szCs w:val="18"/>
              </w:rPr>
              <w:t>标</w:t>
            </w:r>
          </w:p>
        </w:tc>
        <w:tc>
          <w:tcPr>
            <w:tcW w:w="1011"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1920"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1500"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1455"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年度</w:t>
            </w:r>
          </w:p>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指标值</w:t>
            </w:r>
          </w:p>
        </w:tc>
        <w:tc>
          <w:tcPr>
            <w:tcW w:w="1755"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实际</w:t>
            </w:r>
          </w:p>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完成值</w:t>
            </w:r>
          </w:p>
        </w:tc>
        <w:tc>
          <w:tcPr>
            <w:tcW w:w="1170"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分值</w:t>
            </w:r>
          </w:p>
        </w:tc>
        <w:tc>
          <w:tcPr>
            <w:tcW w:w="1155" w:type="dxa"/>
            <w:tcBorders>
              <w:top w:val="single" w:sz="4" w:space="0" w:color="auto"/>
              <w:left w:val="single" w:sz="4" w:space="0" w:color="000000"/>
              <w:bottom w:val="single" w:sz="4" w:space="0" w:color="auto"/>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得分</w:t>
            </w:r>
          </w:p>
        </w:tc>
        <w:tc>
          <w:tcPr>
            <w:tcW w:w="2745"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偏差原因分析及改进措施</w:t>
            </w:r>
          </w:p>
        </w:tc>
      </w:tr>
      <w:tr w:rsidR="00F70FE2">
        <w:trPr>
          <w:trHeight w:val="1140"/>
        </w:trPr>
        <w:tc>
          <w:tcPr>
            <w:tcW w:w="1101"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产出指标</w:t>
            </w:r>
          </w:p>
        </w:tc>
        <w:tc>
          <w:tcPr>
            <w:tcW w:w="192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1500" w:type="dxa"/>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收集</w:t>
            </w: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例受试者临床资料</w:t>
            </w:r>
          </w:p>
        </w:tc>
        <w:tc>
          <w:tcPr>
            <w:tcW w:w="1455"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r>
              <w:rPr>
                <w:rFonts w:ascii="宋体" w:eastAsia="宋体" w:hAnsi="宋体" w:cs="宋体" w:hint="eastAsia"/>
                <w:color w:val="000000"/>
                <w:kern w:val="0"/>
                <w:sz w:val="18"/>
                <w:szCs w:val="18"/>
              </w:rPr>
              <w:t>例眼科基本检查与新技术检查</w:t>
            </w:r>
          </w:p>
        </w:tc>
        <w:tc>
          <w:tcPr>
            <w:tcW w:w="1755" w:type="dxa"/>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r>
              <w:rPr>
                <w:rFonts w:ascii="宋体" w:eastAsia="宋体" w:hAnsi="宋体" w:cs="宋体" w:hint="eastAsia"/>
                <w:color w:val="000000"/>
                <w:kern w:val="0"/>
                <w:sz w:val="18"/>
                <w:szCs w:val="18"/>
              </w:rPr>
              <w:t>例眼科基本检查</w:t>
            </w:r>
          </w:p>
        </w:tc>
        <w:tc>
          <w:tcPr>
            <w:tcW w:w="1170" w:type="dxa"/>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3</w:t>
            </w:r>
          </w:p>
        </w:tc>
        <w:tc>
          <w:tcPr>
            <w:tcW w:w="2745"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在项目实际进展中发现新技术检测方法可优化，暂停了新技术的检查以攻克技术难题，将在完成技术攻关后加快进程</w:t>
            </w: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高级专业职称晋升</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660"/>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收集临床病例行全息影像重建并开始在科室临床工作中尝试进行全息影像辅助的病例讨论和分析</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申报国家级课题、申报专利</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915"/>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成功构建目标成果，并投入临床使用</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纳米药物成功负载到人工晶状体上、重建全息影像利用于术中导航等科室临床工作</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已完成</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时效指标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r>
              <w:rPr>
                <w:rFonts w:ascii="宋体" w:eastAsia="宋体" w:hAnsi="宋体" w:cs="宋体" w:hint="eastAsia"/>
                <w:color w:val="000000"/>
                <w:kern w:val="0"/>
                <w:sz w:val="18"/>
                <w:szCs w:val="18"/>
              </w:rPr>
              <w:t>月前完成对照研究</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r>
              <w:rPr>
                <w:rFonts w:ascii="宋体" w:eastAsia="宋体" w:hAnsi="宋体" w:cs="宋体" w:hint="eastAsia"/>
                <w:color w:val="000000"/>
                <w:kern w:val="0"/>
                <w:sz w:val="18"/>
                <w:szCs w:val="18"/>
              </w:rPr>
              <w:t>月前完成回顾研究</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w:t>
            </w:r>
            <w:r>
              <w:rPr>
                <w:rFonts w:ascii="宋体" w:eastAsia="宋体" w:hAnsi="宋体" w:cs="宋体" w:hint="eastAsia"/>
                <w:color w:val="000000"/>
                <w:kern w:val="0"/>
                <w:sz w:val="18"/>
                <w:szCs w:val="18"/>
              </w:rPr>
              <w:t>月前完成学术交流</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完成</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总成本</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r>
              <w:rPr>
                <w:rFonts w:ascii="宋体" w:eastAsia="宋体" w:hAnsi="宋体" w:cs="宋体" w:hint="eastAsia"/>
                <w:color w:val="000000"/>
                <w:kern w:val="0"/>
                <w:sz w:val="18"/>
                <w:szCs w:val="18"/>
              </w:rPr>
              <w:t>万元</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107.17</w:t>
            </w:r>
            <w:r>
              <w:rPr>
                <w:rFonts w:ascii="宋体" w:eastAsia="宋体" w:hAnsi="宋体" w:cs="宋体" w:hint="eastAsia"/>
                <w:color w:val="000000"/>
                <w:kern w:val="0"/>
                <w:sz w:val="18"/>
                <w:szCs w:val="18"/>
              </w:rPr>
              <w:t>万元</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585"/>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效益指标</w:t>
            </w: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承担政府公益性、利用全息影像给患者带来更好的医疗服务，解决医患供</w:t>
            </w:r>
            <w:r>
              <w:rPr>
                <w:rFonts w:ascii="宋体" w:eastAsia="宋体" w:hAnsi="宋体" w:cs="宋体" w:hint="eastAsia"/>
                <w:color w:val="000000"/>
                <w:kern w:val="0"/>
                <w:sz w:val="18"/>
                <w:szCs w:val="18"/>
              </w:rPr>
              <w:lastRenderedPageBreak/>
              <w:t>需失衡的临床难点</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应用于科室临床工作，服务于患者</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应用于科室临床工作，服务于患者</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144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在诊断、治疗、教学和科研中提供作用，提升诊断、治疗、教学、科研质量方面</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医院诊疗新方法提供支持和保障；为科研和学科发展提供必要的医疗设备前沿技术支持</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为医院医疗新技术、诊疗新方法提供支持和保障；为科研和学科发展提供必要的技术支持，与年度计划预期一致</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90"/>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val="restart"/>
            <w:tcBorders>
              <w:top w:val="single" w:sz="4" w:space="0" w:color="000000"/>
              <w:left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建立新技术规范、提高疾病筛查率</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形成、提高</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形成、提高</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675"/>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920" w:type="dxa"/>
            <w:vMerge/>
            <w:tcBorders>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形</w:t>
            </w:r>
            <w:r>
              <w:rPr>
                <w:rFonts w:ascii="宋体" w:eastAsia="宋体" w:hAnsi="宋体" w:cs="宋体" w:hint="eastAsia"/>
                <w:color w:val="000000"/>
                <w:kern w:val="0"/>
                <w:sz w:val="18"/>
                <w:szCs w:val="18"/>
              </w:rPr>
              <w:t>成预后随访数据平台、拓展了疾病诊疗的新思路和研究方向</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形成</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形成</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val="restart"/>
            <w:tcBorders>
              <w:top w:val="single" w:sz="4" w:space="0" w:color="000000"/>
              <w:left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满意度</w:t>
            </w:r>
          </w:p>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指标</w:t>
            </w:r>
          </w:p>
        </w:tc>
        <w:tc>
          <w:tcPr>
            <w:tcW w:w="19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服务对象满意度指标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临床医生满意度</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预期满意度</w:t>
            </w:r>
            <w:r>
              <w:rPr>
                <w:rFonts w:ascii="宋体" w:eastAsia="宋体" w:hAnsi="宋体" w:cs="宋体" w:hint="eastAsia"/>
                <w:color w:val="000000"/>
                <w:kern w:val="0"/>
                <w:sz w:val="18"/>
                <w:szCs w:val="18"/>
              </w:rPr>
              <w:t>90%</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满意度达</w:t>
            </w:r>
            <w:r>
              <w:rPr>
                <w:rFonts w:ascii="宋体" w:eastAsia="宋体" w:hAnsi="宋体" w:cs="宋体" w:hint="eastAsia"/>
                <w:color w:val="000000"/>
                <w:kern w:val="0"/>
                <w:sz w:val="18"/>
                <w:szCs w:val="18"/>
              </w:rPr>
              <w:t>90%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1101"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011" w:type="dxa"/>
            <w:vMerge/>
            <w:tcBorders>
              <w:left w:val="single" w:sz="4" w:space="0" w:color="000000"/>
              <w:bottom w:val="single" w:sz="4" w:space="0" w:color="000000"/>
              <w:right w:val="single" w:sz="4" w:space="0" w:color="000000"/>
            </w:tcBorders>
            <w:shd w:val="clear" w:color="auto" w:fill="auto"/>
            <w:vAlign w:val="center"/>
          </w:tcPr>
          <w:p w:rsidR="00F70FE2" w:rsidRDefault="00F70FE2">
            <w:pPr>
              <w:widowControl/>
              <w:jc w:val="center"/>
              <w:textAlignment w:val="center"/>
              <w:rPr>
                <w:rFonts w:ascii="宋体" w:eastAsia="宋体" w:hAnsi="宋体" w:cs="宋体"/>
                <w:color w:val="000000"/>
                <w:sz w:val="18"/>
                <w:szCs w:val="18"/>
              </w:rPr>
            </w:pPr>
          </w:p>
        </w:tc>
        <w:tc>
          <w:tcPr>
            <w:tcW w:w="19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患者满意度</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预期满意度</w:t>
            </w:r>
            <w:r>
              <w:rPr>
                <w:rFonts w:ascii="宋体" w:eastAsia="宋体" w:hAnsi="宋体" w:cs="宋体" w:hint="eastAsia"/>
                <w:color w:val="000000"/>
                <w:kern w:val="0"/>
                <w:sz w:val="18"/>
                <w:szCs w:val="18"/>
              </w:rPr>
              <w:t>90%</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满意度达</w:t>
            </w:r>
            <w:r>
              <w:rPr>
                <w:rFonts w:ascii="宋体" w:eastAsia="宋体" w:hAnsi="宋体" w:cs="宋体" w:hint="eastAsia"/>
                <w:color w:val="000000"/>
                <w:kern w:val="0"/>
                <w:sz w:val="18"/>
                <w:szCs w:val="18"/>
              </w:rPr>
              <w:t>90%</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jc w:val="center"/>
              <w:rPr>
                <w:rFonts w:ascii="宋体" w:eastAsia="宋体" w:hAnsi="宋体" w:cs="宋体"/>
                <w:color w:val="000000"/>
                <w:sz w:val="18"/>
                <w:szCs w:val="18"/>
              </w:rPr>
            </w:pPr>
          </w:p>
        </w:tc>
      </w:tr>
      <w:tr w:rsidR="00F70FE2">
        <w:trPr>
          <w:trHeight w:val="301"/>
        </w:trPr>
        <w:tc>
          <w:tcPr>
            <w:tcW w:w="874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jc w:val="center"/>
              <w:rPr>
                <w:rFonts w:ascii="宋体" w:eastAsia="宋体" w:hAnsi="宋体" w:cs="宋体"/>
                <w:color w:val="000000"/>
                <w:sz w:val="18"/>
                <w:szCs w:val="18"/>
              </w:rPr>
            </w:pPr>
            <w:r>
              <w:rPr>
                <w:rFonts w:ascii="宋体" w:eastAsia="宋体" w:hAnsi="宋体" w:cs="宋体" w:hint="eastAsia"/>
                <w:color w:val="000000"/>
                <w:kern w:val="0"/>
                <w:sz w:val="18"/>
                <w:szCs w:val="18"/>
              </w:rPr>
              <w:t>总分</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DE4DB6">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98</w:t>
            </w:r>
          </w:p>
        </w:tc>
        <w:tc>
          <w:tcPr>
            <w:tcW w:w="2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70FE2" w:rsidRDefault="00F70FE2">
            <w:pPr>
              <w:rPr>
                <w:rFonts w:ascii="宋体" w:eastAsia="宋体" w:hAnsi="宋体" w:cs="宋体"/>
                <w:color w:val="000000"/>
                <w:sz w:val="18"/>
                <w:szCs w:val="18"/>
              </w:rPr>
            </w:pPr>
          </w:p>
        </w:tc>
      </w:tr>
    </w:tbl>
    <w:p w:rsidR="00F70FE2" w:rsidRDefault="00F70FE2">
      <w:pPr>
        <w:rPr>
          <w:rFonts w:ascii="宋体" w:eastAsia="宋体" w:hAnsi="宋体" w:cs="宋体"/>
          <w:sz w:val="18"/>
          <w:szCs w:val="18"/>
        </w:rPr>
      </w:pPr>
    </w:p>
    <w:sectPr w:rsidR="00F70FE2" w:rsidSect="00F70FE2">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4DB6" w:rsidRDefault="00DE4DB6" w:rsidP="00514925">
      <w:r>
        <w:separator/>
      </w:r>
    </w:p>
  </w:endnote>
  <w:endnote w:type="continuationSeparator" w:id="1">
    <w:p w:rsidR="00DE4DB6" w:rsidRDefault="00DE4DB6" w:rsidP="005149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4DB6" w:rsidRDefault="00DE4DB6" w:rsidP="00514925">
      <w:r>
        <w:separator/>
      </w:r>
    </w:p>
  </w:footnote>
  <w:footnote w:type="continuationSeparator" w:id="1">
    <w:p w:rsidR="00DE4DB6" w:rsidRDefault="00DE4DB6" w:rsidP="005149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GZhMDkzYWE4NTcxZWJhN2UwMDlhYjNiMTA4MjMwNjUifQ=="/>
  </w:docVars>
  <w:rsids>
    <w:rsidRoot w:val="3DCF467A"/>
    <w:rsid w:val="000873B8"/>
    <w:rsid w:val="00126012"/>
    <w:rsid w:val="001577EE"/>
    <w:rsid w:val="00514925"/>
    <w:rsid w:val="006C7236"/>
    <w:rsid w:val="0072166D"/>
    <w:rsid w:val="00DE4DB6"/>
    <w:rsid w:val="00F70FE2"/>
    <w:rsid w:val="00F83EB9"/>
    <w:rsid w:val="3DCF467A"/>
    <w:rsid w:val="74CF08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0FE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F70FE2"/>
    <w:pPr>
      <w:tabs>
        <w:tab w:val="center" w:pos="4153"/>
        <w:tab w:val="right" w:pos="8306"/>
      </w:tabs>
      <w:snapToGrid w:val="0"/>
      <w:jc w:val="left"/>
    </w:pPr>
    <w:rPr>
      <w:sz w:val="18"/>
      <w:szCs w:val="18"/>
    </w:rPr>
  </w:style>
  <w:style w:type="paragraph" w:styleId="a4">
    <w:name w:val="header"/>
    <w:basedOn w:val="a"/>
    <w:link w:val="Char0"/>
    <w:qFormat/>
    <w:rsid w:val="00F70FE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F70FE2"/>
    <w:rPr>
      <w:rFonts w:asciiTheme="minorHAnsi" w:eastAsiaTheme="minorEastAsia" w:hAnsiTheme="minorHAnsi" w:cstheme="minorBidi"/>
      <w:kern w:val="2"/>
      <w:sz w:val="18"/>
      <w:szCs w:val="18"/>
    </w:rPr>
  </w:style>
  <w:style w:type="character" w:customStyle="1" w:styleId="Char">
    <w:name w:val="页脚 Char"/>
    <w:basedOn w:val="a0"/>
    <w:link w:val="a3"/>
    <w:qFormat/>
    <w:rsid w:val="00F70FE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5</cp:revision>
  <dcterms:created xsi:type="dcterms:W3CDTF">2022-05-13T01:03:00Z</dcterms:created>
  <dcterms:modified xsi:type="dcterms:W3CDTF">2022-08-24T02:57:00Z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762427030DF84AD9ACBAD1AFC86E3F9A</vt:lpwstr>
  </property>
</Properties>
</file>