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891"/>
        <w:gridCol w:w="891"/>
        <w:gridCol w:w="205"/>
        <w:gridCol w:w="869"/>
        <w:gridCol w:w="205"/>
        <w:gridCol w:w="942"/>
        <w:gridCol w:w="990"/>
        <w:gridCol w:w="335"/>
        <w:gridCol w:w="494"/>
        <w:gridCol w:w="348"/>
        <w:gridCol w:w="527"/>
        <w:gridCol w:w="425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420" w:type="dxa"/>
            <w:gridSpan w:val="14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6420" w:type="dxa"/>
            <w:gridSpan w:val="14"/>
          </w:tcPr>
          <w:p>
            <w:pPr>
              <w:jc w:val="center"/>
            </w:pPr>
            <w:r>
              <w:rPr>
                <w:rFonts w:hint="eastAsia"/>
              </w:rPr>
              <w:t>（  2021  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14260" w:type="dxa"/>
            <w:gridSpan w:val="12"/>
          </w:tcPr>
          <w:p>
            <w:r>
              <w:rPr>
                <w:rFonts w:hint="eastAsia"/>
              </w:rPr>
              <w:t>医用设备购置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主管部门</w:t>
            </w:r>
          </w:p>
        </w:tc>
        <w:tc>
          <w:tcPr>
            <w:tcW w:w="5700" w:type="dxa"/>
            <w:gridSpan w:val="5"/>
          </w:tcPr>
          <w:p>
            <w:r>
              <w:rPr>
                <w:rFonts w:hint="eastAsia"/>
              </w:rPr>
              <w:t>北京市医院管理中心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6120" w:type="dxa"/>
            <w:gridSpan w:val="5"/>
          </w:tcPr>
          <w:p>
            <w:r>
              <w:rPr>
                <w:rFonts w:hint="eastAsia"/>
              </w:rPr>
              <w:t>首都儿科研究所附属儿童医院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项目负责人</w:t>
            </w:r>
          </w:p>
        </w:tc>
        <w:tc>
          <w:tcPr>
            <w:tcW w:w="5700" w:type="dxa"/>
            <w:gridSpan w:val="5"/>
          </w:tcPr>
          <w:p>
            <w:r>
              <w:rPr>
                <w:rFonts w:hint="eastAsia"/>
              </w:rPr>
              <w:t>于亚滨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6120" w:type="dxa"/>
            <w:gridSpan w:val="5"/>
          </w:tcPr>
          <w:p>
            <w:r>
              <w:rPr>
                <w:rFonts w:hint="eastAsia"/>
              </w:rPr>
              <w:t>85695118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年初预算数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全年预算数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执行率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年度资金总额</w:t>
            </w:r>
          </w:p>
        </w:tc>
        <w:tc>
          <w:tcPr>
            <w:tcW w:w="1080" w:type="dxa"/>
          </w:tcPr>
          <w:p>
            <w:r>
              <w:t>597.95</w:t>
            </w:r>
          </w:p>
        </w:tc>
        <w:tc>
          <w:tcPr>
            <w:tcW w:w="2460" w:type="dxa"/>
            <w:gridSpan w:val="2"/>
          </w:tcPr>
          <w:p>
            <w:r>
              <w:t>597.95</w:t>
            </w:r>
          </w:p>
        </w:tc>
        <w:tc>
          <w:tcPr>
            <w:tcW w:w="244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597.95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180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年度总体目标</w:t>
            </w:r>
          </w:p>
        </w:tc>
        <w:tc>
          <w:tcPr>
            <w:tcW w:w="6780" w:type="dxa"/>
            <w:gridSpan w:val="6"/>
          </w:tcPr>
          <w:p>
            <w:r>
              <w:rPr>
                <w:rFonts w:hint="eastAsia"/>
              </w:rPr>
              <w:t>预期目标</w:t>
            </w:r>
          </w:p>
        </w:tc>
        <w:tc>
          <w:tcPr>
            <w:tcW w:w="8560" w:type="dxa"/>
            <w:gridSpan w:val="7"/>
          </w:tcPr>
          <w:p>
            <w:r>
              <w:rPr>
                <w:rFonts w:hint="eastAsia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080" w:type="dxa"/>
            <w:vMerge w:val="continue"/>
          </w:tcPr>
          <w:p/>
        </w:tc>
        <w:tc>
          <w:tcPr>
            <w:tcW w:w="6780" w:type="dxa"/>
            <w:gridSpan w:val="6"/>
          </w:tcPr>
          <w:p>
            <w:r>
              <w:rPr>
                <w:rFonts w:hint="eastAsia"/>
              </w:rPr>
              <w:t>通过购置磁共振成像系统等9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  <w:tc>
          <w:tcPr>
            <w:tcW w:w="8560" w:type="dxa"/>
            <w:gridSpan w:val="7"/>
          </w:tcPr>
          <w:p>
            <w:r>
              <w:rPr>
                <w:rFonts w:hint="eastAsia"/>
              </w:rPr>
              <w:t>通过购置磁共振成像系统等9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年度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</w:tcPr>
          <w:p>
            <w:r>
              <w:rPr>
                <w:rFonts w:hint="eastAsia"/>
              </w:rPr>
              <w:t>得分</w:t>
            </w:r>
          </w:p>
        </w:tc>
        <w:tc>
          <w:tcPr>
            <w:tcW w:w="2880" w:type="dxa"/>
            <w:gridSpan w:val="2"/>
            <w:vMerge w:val="restart"/>
          </w:tcPr>
          <w:p>
            <w:r>
              <w:rPr>
                <w:rFonts w:hint="eastAsia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效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  <w:vMerge w:val="continue"/>
          </w:tcPr>
          <w:p/>
        </w:tc>
        <w:tc>
          <w:tcPr>
            <w:tcW w:w="1380" w:type="dxa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 w:val="continue"/>
          </w:tcPr>
          <w:p/>
        </w:tc>
        <w:tc>
          <w:tcPr>
            <w:tcW w:w="2160" w:type="dxa"/>
            <w:gridSpan w:val="2"/>
            <w:vMerge w:val="continue"/>
          </w:tcPr>
          <w:p/>
        </w:tc>
        <w:tc>
          <w:tcPr>
            <w:tcW w:w="2880" w:type="dxa"/>
            <w:gridSpan w:val="2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指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数量指标（15）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购置磁共振成像系统等设备台（套）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购置医用设备9台（套）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购置医用设备9台（套）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质量指标（15）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设备质量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购置符合国家标准和行业标准规定，并符合临床使用需求的全新设备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购置符合国家标准和行业标准规定，并符合临床使用需求的全新设备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设备验收合格率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100%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所有设备培训人员合格率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100%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时效指标（10）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完成方案制定和前期准备工作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2021年4月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2021年8月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2021年我院医疗设备采购执行部门调整为招标与采购中心，2021年4月启动工作交接。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完成招标工作及签订合同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2021年5月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2021年10月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2021年我院医疗设备采购执行部门调整为招标与采购中心，2021年4月启动工作交接。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设备采购到位、安装、试运行、培训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2021年8月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2022年4月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根据采购情况进行安装、培训工作，并受疫情影响，设备延迟到货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完成项目验收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2021年9月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2022年4月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根据采购情况进行验收工作，并受疫情影响，设备延迟到货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项目实施满意度调查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2021年9月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2022年4月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疫情及国际货运因素，部分设备配件到货延迟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成本指标（10）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3026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3017.95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效益指标（30）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经济效益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设备完善医院医疗设备体系，满足医院对诊断、治疗等医疗服务的需求方面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较显著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较显著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检查或治疗患者人数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有所提升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有所提升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生态效益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设备持续发挥的作用年限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不少于5年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不少于5年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满意度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服务对象满意度指标（10）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设备使用人员的满意度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达90%以上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达90%以上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患者满意度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达90%以上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达90%以上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220" w:type="dxa"/>
            <w:gridSpan w:val="8"/>
          </w:tcPr>
          <w:p>
            <w:r>
              <w:rPr>
                <w:rFonts w:hint="eastAsia"/>
              </w:rPr>
              <w:t>总分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ODQ5YTk4ZjExZDJiYzU1NjdiZjQ1OWIwZTAwMjEifQ=="/>
  </w:docVars>
  <w:rsids>
    <w:rsidRoot w:val="000A56D9"/>
    <w:rsid w:val="000A56D9"/>
    <w:rsid w:val="004C4D80"/>
    <w:rsid w:val="00723FE5"/>
    <w:rsid w:val="00DD12F8"/>
    <w:rsid w:val="3BA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1015</Words>
  <Characters>1127</Characters>
  <Lines>10</Lines>
  <Paragraphs>2</Paragraphs>
  <TotalTime>1</TotalTime>
  <ScaleCrop>false</ScaleCrop>
  <LinksUpToDate>false</LinksUpToDate>
  <CharactersWithSpaces>1187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2022-05-18T08:08:00Z</dcterms:created>
  <dc:creator>1</dc:creator>
  <cp:lastModifiedBy>关</cp:lastModifiedBy>
  <dcterms:modified xsi:type="dcterms:W3CDTF">2022-06-07T12:22:44Z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ED2C5F7370D84AA3AF149A3B39BAA5B6</vt:lpwstr>
  </property>
</Properties>
</file>