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"/>
        <w:gridCol w:w="718"/>
        <w:gridCol w:w="718"/>
        <w:gridCol w:w="397"/>
        <w:gridCol w:w="901"/>
        <w:gridCol w:w="341"/>
        <w:gridCol w:w="1639"/>
        <w:gridCol w:w="1639"/>
        <w:gridCol w:w="142"/>
        <w:gridCol w:w="327"/>
        <w:gridCol w:w="168"/>
        <w:gridCol w:w="346"/>
        <w:gridCol w:w="243"/>
        <w:gridCol w:w="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6420" w:type="dxa"/>
            <w:gridSpan w:val="14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换热站</w:t>
            </w:r>
            <w:r>
              <w:rPr>
                <w:b/>
                <w:bCs/>
              </w:rPr>
              <w:t>设备</w:t>
            </w:r>
            <w:r>
              <w:rPr>
                <w:rFonts w:hint="eastAsia"/>
                <w:b/>
                <w:bCs/>
              </w:rPr>
              <w:t>更新</w:t>
            </w:r>
            <w:r>
              <w:rPr>
                <w:b/>
                <w:bCs/>
              </w:rPr>
              <w:t>改造工程</w:t>
            </w:r>
            <w:r>
              <w:rPr>
                <w:rFonts w:hint="eastAsia"/>
                <w:b/>
                <w:bCs/>
              </w:rPr>
              <w:t>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6420" w:type="dxa"/>
            <w:gridSpan w:val="14"/>
          </w:tcPr>
          <w:p>
            <w:pPr>
              <w:jc w:val="center"/>
            </w:pPr>
            <w:r>
              <w:rPr>
                <w:rFonts w:hint="eastAsia"/>
              </w:rPr>
              <w:t>（  2021  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14260" w:type="dxa"/>
            <w:gridSpan w:val="12"/>
          </w:tcPr>
          <w:p>
            <w:r>
              <w:rPr>
                <w:rFonts w:hint="eastAsia"/>
              </w:rPr>
              <w:t>换热站设备更新改造工程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主管部门</w:t>
            </w:r>
          </w:p>
        </w:tc>
        <w:tc>
          <w:tcPr>
            <w:tcW w:w="5700" w:type="dxa"/>
            <w:gridSpan w:val="5"/>
          </w:tcPr>
          <w:p>
            <w:r>
              <w:rPr>
                <w:rFonts w:hint="eastAsia"/>
              </w:rPr>
              <w:t>北京市医院管理中心</w:t>
            </w:r>
          </w:p>
        </w:tc>
        <w:tc>
          <w:tcPr>
            <w:tcW w:w="2440" w:type="dxa"/>
            <w:gridSpan w:val="2"/>
          </w:tcPr>
          <w:p>
            <w:r>
              <w:rPr>
                <w:rFonts w:hint="eastAsia"/>
              </w:rPr>
              <w:t>实施单位</w:t>
            </w:r>
          </w:p>
        </w:tc>
        <w:tc>
          <w:tcPr>
            <w:tcW w:w="6120" w:type="dxa"/>
            <w:gridSpan w:val="5"/>
          </w:tcPr>
          <w:p>
            <w:r>
              <w:rPr>
                <w:rFonts w:hint="eastAsia"/>
              </w:rPr>
              <w:t>首都儿科研究所附属儿童医院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项目负责人</w:t>
            </w:r>
          </w:p>
        </w:tc>
        <w:tc>
          <w:tcPr>
            <w:tcW w:w="5700" w:type="dxa"/>
            <w:gridSpan w:val="5"/>
          </w:tcPr>
          <w:p>
            <w:r>
              <w:rPr>
                <w:rFonts w:hint="eastAsia"/>
              </w:rPr>
              <w:t>秦世杰</w:t>
            </w:r>
          </w:p>
        </w:tc>
        <w:tc>
          <w:tcPr>
            <w:tcW w:w="2440" w:type="dxa"/>
            <w:gridSpan w:val="2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6120" w:type="dxa"/>
            <w:gridSpan w:val="5"/>
          </w:tcPr>
          <w:p>
            <w:r>
              <w:rPr>
                <w:rFonts w:hint="eastAsia"/>
              </w:rPr>
              <w:t>85695271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项目资金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年初预算数</w:t>
            </w:r>
          </w:p>
        </w:tc>
        <w:tc>
          <w:tcPr>
            <w:tcW w:w="2460" w:type="dxa"/>
            <w:gridSpan w:val="2"/>
          </w:tcPr>
          <w:p>
            <w:r>
              <w:rPr>
                <w:rFonts w:hint="eastAsia"/>
              </w:rPr>
              <w:t>全年预算数</w:t>
            </w:r>
          </w:p>
        </w:tc>
        <w:tc>
          <w:tcPr>
            <w:tcW w:w="2440" w:type="dxa"/>
            <w:gridSpan w:val="2"/>
          </w:tcPr>
          <w:p>
            <w:r>
              <w:rPr>
                <w:rFonts w:hint="eastAsia"/>
              </w:rPr>
              <w:t>全年执行数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执行率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（万元）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年度资金总额</w:t>
            </w:r>
          </w:p>
        </w:tc>
        <w:tc>
          <w:tcPr>
            <w:tcW w:w="1080" w:type="dxa"/>
          </w:tcPr>
          <w:p>
            <w:r>
              <w:t>48.398</w:t>
            </w:r>
          </w:p>
        </w:tc>
        <w:tc>
          <w:tcPr>
            <w:tcW w:w="2460" w:type="dxa"/>
            <w:gridSpan w:val="2"/>
          </w:tcPr>
          <w:p>
            <w:r>
              <w:t>48.398</w:t>
            </w:r>
          </w:p>
        </w:tc>
        <w:tc>
          <w:tcPr>
            <w:tcW w:w="2440" w:type="dxa"/>
            <w:gridSpan w:val="2"/>
          </w:tcPr>
          <w:p>
            <w:r>
              <w:t>48.398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  <w:lang w:val="en-US" w:eastAsia="zh-CN"/>
              </w:rPr>
              <w:t>100</w:t>
            </w:r>
            <w:r>
              <w:t>%</w:t>
            </w:r>
          </w:p>
        </w:tc>
        <w:tc>
          <w:tcPr>
            <w:tcW w:w="180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其中：当年财政拨款</w:t>
            </w:r>
          </w:p>
        </w:tc>
        <w:tc>
          <w:tcPr>
            <w:tcW w:w="1080" w:type="dxa"/>
          </w:tcPr>
          <w:p>
            <w:r>
              <w:t>48.398</w:t>
            </w:r>
          </w:p>
        </w:tc>
        <w:tc>
          <w:tcPr>
            <w:tcW w:w="2460" w:type="dxa"/>
            <w:gridSpan w:val="2"/>
          </w:tcPr>
          <w:p>
            <w:r>
              <w:t>48.398</w:t>
            </w:r>
          </w:p>
        </w:tc>
        <w:tc>
          <w:tcPr>
            <w:tcW w:w="2440" w:type="dxa"/>
            <w:gridSpan w:val="2"/>
          </w:tcPr>
          <w:p>
            <w:r>
              <w:t>48.398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 xml:space="preserve">      上年结转资金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4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44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 xml:space="preserve">  其他资金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4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44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年度总体目标</w:t>
            </w:r>
          </w:p>
        </w:tc>
        <w:tc>
          <w:tcPr>
            <w:tcW w:w="6780" w:type="dxa"/>
            <w:gridSpan w:val="6"/>
          </w:tcPr>
          <w:p>
            <w:r>
              <w:rPr>
                <w:rFonts w:hint="eastAsia"/>
              </w:rPr>
              <w:t>预期目标</w:t>
            </w:r>
          </w:p>
        </w:tc>
        <w:tc>
          <w:tcPr>
            <w:tcW w:w="8560" w:type="dxa"/>
            <w:gridSpan w:val="7"/>
          </w:tcPr>
          <w:p>
            <w:r>
              <w:rPr>
                <w:rFonts w:hint="eastAsia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1080" w:type="dxa"/>
            <w:vMerge w:val="continue"/>
          </w:tcPr>
          <w:p/>
        </w:tc>
        <w:tc>
          <w:tcPr>
            <w:tcW w:w="6780" w:type="dxa"/>
            <w:gridSpan w:val="6"/>
          </w:tcPr>
          <w:p>
            <w:r>
              <w:rPr>
                <w:rFonts w:hint="eastAsia"/>
              </w:rPr>
              <w:t>热力站建成投用于2004年，已经运行16年。目前在用设备老化，保温层破损脱落，管道出现锈蚀情况，且生活热水换热器为储罐式换热设备，不符合安全卫生使用要求。此次修缮改造项目旨在更换老旧设备、包括换热器、全自动补水箱、全自动软水器、水泵控制柜等，提升设备节能水平，消除设备老化存在的安全隐患，同时对换热站地面、墙面、排水沟进行维护，更换站内照明设施为节能灯具，提升热力站区域环境。</w:t>
            </w:r>
          </w:p>
        </w:tc>
        <w:tc>
          <w:tcPr>
            <w:tcW w:w="8560" w:type="dxa"/>
            <w:gridSpan w:val="7"/>
          </w:tcPr>
          <w:p>
            <w:r>
              <w:rPr>
                <w:rFonts w:hint="eastAsia"/>
              </w:rPr>
              <w:t>全部按照计划执行完成，并在供热期前全部设备投入使用，完成2021年供热采暖和日常热水供应工作。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绩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3240" w:type="dxa"/>
            <w:gridSpan w:val="3"/>
            <w:vMerge w:val="restart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年度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实际</w:t>
            </w:r>
          </w:p>
        </w:tc>
        <w:tc>
          <w:tcPr>
            <w:tcW w:w="2160" w:type="dxa"/>
            <w:gridSpan w:val="2"/>
            <w:vMerge w:val="restart"/>
          </w:tcPr>
          <w:p>
            <w:r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  <w:vMerge w:val="restart"/>
          </w:tcPr>
          <w:p>
            <w:r>
              <w:rPr>
                <w:rFonts w:hint="eastAsia"/>
              </w:rPr>
              <w:t>得分</w:t>
            </w:r>
          </w:p>
        </w:tc>
        <w:tc>
          <w:tcPr>
            <w:tcW w:w="2880" w:type="dxa"/>
            <w:gridSpan w:val="2"/>
            <w:vMerge w:val="restart"/>
          </w:tcPr>
          <w:p>
            <w:r>
              <w:rPr>
                <w:rFonts w:hint="eastAsia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效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  <w:vMerge w:val="continue"/>
          </w:tcPr>
          <w:p/>
        </w:tc>
        <w:tc>
          <w:tcPr>
            <w:tcW w:w="1380" w:type="dxa"/>
          </w:tcPr>
          <w:p>
            <w:r>
              <w:rPr>
                <w:rFonts w:hint="eastAsia"/>
              </w:rPr>
              <w:t>指标值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完成值</w:t>
            </w:r>
          </w:p>
        </w:tc>
        <w:tc>
          <w:tcPr>
            <w:tcW w:w="2160" w:type="dxa"/>
            <w:gridSpan w:val="2"/>
            <w:vMerge w:val="continue"/>
          </w:tcPr>
          <w:p/>
        </w:tc>
        <w:tc>
          <w:tcPr>
            <w:tcW w:w="2160" w:type="dxa"/>
            <w:gridSpan w:val="2"/>
            <w:vMerge w:val="continue"/>
          </w:tcPr>
          <w:p/>
        </w:tc>
        <w:tc>
          <w:tcPr>
            <w:tcW w:w="2880" w:type="dxa"/>
            <w:gridSpan w:val="2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产出指标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数量指标（15）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更新采暖热水换热器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8台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8台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更新软化水设备及水箱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2套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2套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指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更新水泵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12台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12台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5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</w:tcPr>
          <w:p>
            <w:r>
              <w:rPr>
                <w:rFonts w:hint="eastAsia"/>
              </w:rPr>
              <w:t>质量指标（15）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项目质量符合《板式换热器国家标准》GB16409-1996、《现场设备、工业金属管道工程施工及验收规范》（GB50236-1998）、《建筑给排水及采暖工程施工质量验收规范》GB50242-2002等相关标准规范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项目质量符合《板式换热器国家标准》GB16409-1996、《现场设备、工业金属管道工程施工及验收规范》（GB50236-1998）、《建筑给排水及采暖工程施工质量验收规范》GB50242-2002等相关标准规范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项目质量符合《板式换热器国家标准》GB16409-1996、《现场设备、工业金属管道工程施工及验收规范》（GB50236-1998）、《建筑给排水及采暖工程施工质量验收规范》GB50242-2002等相关标准规范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时效指标（10）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完成方案定制和前期准备工作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2021年3月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2021年5月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并受疫情影响，延迟采购时间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完成招标工作及签订合同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2021年4月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2021年8月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并受疫情影响，延迟采购时间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组织实施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2021年5月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2021年9月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因合同签订延迟，故施工进场日期推迟。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完成项目验收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2021年6月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2021年9月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项目实施满意度调查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2021年12月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2021年12月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</w:tcPr>
          <w:p>
            <w:r>
              <w:rPr>
                <w:rFonts w:hint="eastAsia"/>
              </w:rPr>
              <w:t>成本指标（10）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项目预算控制数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127.602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127.602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效益指标（30）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社会效益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提升设备节能水平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提升20%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提升20%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</w:tcPr>
          <w:p>
            <w:r>
              <w:rPr>
                <w:rFonts w:hint="eastAsia"/>
              </w:rPr>
              <w:t>社会效益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设备持续发挥的作用年限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不少于5年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不少于5年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</w:tcPr>
          <w:p>
            <w:r>
              <w:rPr>
                <w:rFonts w:hint="eastAsia"/>
              </w:rPr>
              <w:t>生态效益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消除设备老化存在的安全隐患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消除隐患100%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消除隐患100%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满意度</w:t>
            </w:r>
          </w:p>
        </w:tc>
        <w:tc>
          <w:tcPr>
            <w:tcW w:w="1080" w:type="dxa"/>
            <w:vMerge w:val="restart"/>
          </w:tcPr>
          <w:p>
            <w:r>
              <w:rPr>
                <w:rFonts w:hint="eastAsia"/>
              </w:rPr>
              <w:t>服务对象满意度指标（10）</w:t>
            </w:r>
          </w:p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本院职工满意度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达90%以上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达90%以上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vMerge w:val="continue"/>
          </w:tcPr>
          <w:p/>
        </w:tc>
        <w:tc>
          <w:tcPr>
            <w:tcW w:w="1080" w:type="dxa"/>
            <w:vMerge w:val="continue"/>
          </w:tcPr>
          <w:p/>
        </w:tc>
        <w:tc>
          <w:tcPr>
            <w:tcW w:w="3240" w:type="dxa"/>
            <w:gridSpan w:val="3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8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60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220" w:type="dxa"/>
            <w:gridSpan w:val="8"/>
          </w:tcPr>
          <w:p>
            <w:r>
              <w:rPr>
                <w:rFonts w:hint="eastAsia"/>
              </w:rPr>
              <w:t>总分</w:t>
            </w:r>
          </w:p>
        </w:tc>
        <w:tc>
          <w:tcPr>
            <w:tcW w:w="2160" w:type="dxa"/>
            <w:gridSpan w:val="2"/>
          </w:tcPr>
          <w:p>
            <w:r>
              <w:rPr>
                <w:rFonts w:hint="eastAsia"/>
              </w:rPr>
              <w:t>100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288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RiNDA1YjdlNzExMzdjMzZhYmI5ZjkxNjE5YWY2YWQifQ=="/>
  </w:docVars>
  <w:rsids>
    <w:rsidRoot w:val="00F5099A"/>
    <w:rsid w:val="002B3A98"/>
    <w:rsid w:val="00434CFA"/>
    <w:rsid w:val="008E2DB5"/>
    <w:rsid w:val="00F5099A"/>
    <w:rsid w:val="00F74C92"/>
    <w:rsid w:val="00FF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992</Words>
  <Characters>1221</Characters>
  <Lines>10</Lines>
  <Paragraphs>3</Paragraphs>
  <TotalTime>5</TotalTime>
  <ScaleCrop>false</ScaleCrop>
  <LinksUpToDate>false</LinksUpToDate>
  <CharactersWithSpaces>1280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2022-05-18T07:55:00Z</dcterms:created>
  <dc:creator>1</dc:creator>
  <cp:lastModifiedBy>关</cp:lastModifiedBy>
  <dcterms:modified xsi:type="dcterms:W3CDTF">2022-06-06T08:58:06Z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9D04EC6ED1DD4CB790AA27EE81559C4D</vt:lpwstr>
  </property>
</Properties>
</file>