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432" w:lineRule="exact" w:before="21"/>
        <w:ind w:left="6610" w:right="6610" w:firstLine="0"/>
        <w:jc w:val="center"/>
        <w:rPr>
          <w:sz w:val="36"/>
        </w:rPr>
      </w:pPr>
      <w:bookmarkStart w:name="项目支出绩效自评表" w:id="1"/>
      <w:bookmarkEnd w:id="1"/>
      <w:r>
        <w:rPr/>
      </w:r>
      <w:r>
        <w:rPr>
          <w:sz w:val="36"/>
        </w:rPr>
        <w:t>项目支出绩效自评表</w:t>
      </w:r>
    </w:p>
    <w:p>
      <w:pPr>
        <w:spacing w:line="330" w:lineRule="exact" w:before="0"/>
        <w:ind w:left="6610" w:right="6610" w:firstLine="0"/>
        <w:jc w:val="center"/>
        <w:rPr>
          <w:sz w:val="28"/>
        </w:rPr>
      </w:pPr>
      <w:r>
        <w:rPr>
          <w:sz w:val="28"/>
        </w:rPr>
        <w:t>（2021年度）</w:t>
      </w:r>
    </w:p>
    <w:p>
      <w:pPr>
        <w:pStyle w:val="BodyText"/>
        <w:spacing w:before="11"/>
        <w:ind w:left="0"/>
        <w:rPr>
          <w:sz w:val="21"/>
        </w:r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1"/>
        <w:gridCol w:w="1033"/>
        <w:gridCol w:w="1033"/>
        <w:gridCol w:w="1024"/>
        <w:gridCol w:w="1262"/>
        <w:gridCol w:w="1032"/>
        <w:gridCol w:w="1415"/>
        <w:gridCol w:w="2208"/>
        <w:gridCol w:w="1032"/>
        <w:gridCol w:w="1032"/>
        <w:gridCol w:w="1032"/>
        <w:gridCol w:w="1032"/>
        <w:gridCol w:w="1032"/>
        <w:gridCol w:w="1032"/>
      </w:tblGrid>
      <w:tr>
        <w:trPr>
          <w:trHeight w:val="348" w:hRule="atLeast"/>
        </w:trPr>
        <w:tc>
          <w:tcPr>
            <w:tcW w:w="2074" w:type="dxa"/>
            <w:gridSpan w:val="2"/>
          </w:tcPr>
          <w:p>
            <w:pPr>
              <w:pStyle w:val="TableParagraph"/>
              <w:spacing w:before="46"/>
              <w:ind w:left="616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14166" w:type="dxa"/>
            <w:gridSpan w:val="12"/>
          </w:tcPr>
          <w:p>
            <w:pPr>
              <w:pStyle w:val="TableParagraph"/>
              <w:spacing w:before="46"/>
              <w:ind w:left="5227" w:right="5204"/>
              <w:jc w:val="center"/>
              <w:rPr>
                <w:sz w:val="21"/>
              </w:rPr>
            </w:pPr>
            <w:r>
              <w:rPr>
                <w:sz w:val="21"/>
              </w:rPr>
              <w:t>人才培养及学科发展-青苗六期人才培养</w:t>
            </w:r>
          </w:p>
        </w:tc>
      </w:tr>
      <w:tr>
        <w:trPr>
          <w:trHeight w:val="348" w:hRule="atLeast"/>
        </w:trPr>
        <w:tc>
          <w:tcPr>
            <w:tcW w:w="2074" w:type="dxa"/>
            <w:gridSpan w:val="2"/>
          </w:tcPr>
          <w:p>
            <w:pPr>
              <w:pStyle w:val="TableParagraph"/>
              <w:spacing w:before="46"/>
              <w:ind w:left="616"/>
              <w:rPr>
                <w:sz w:val="21"/>
              </w:rPr>
            </w:pPr>
            <w:r>
              <w:rPr>
                <w:sz w:val="21"/>
              </w:rPr>
              <w:t>主管部门</w:t>
            </w:r>
          </w:p>
        </w:tc>
        <w:tc>
          <w:tcPr>
            <w:tcW w:w="5766" w:type="dxa"/>
            <w:gridSpan w:val="5"/>
          </w:tcPr>
          <w:p>
            <w:pPr>
              <w:pStyle w:val="TableParagraph"/>
              <w:spacing w:before="46"/>
              <w:ind w:left="1917" w:right="1898"/>
              <w:jc w:val="center"/>
              <w:rPr>
                <w:sz w:val="21"/>
              </w:rPr>
            </w:pPr>
            <w:r>
              <w:rPr>
                <w:sz w:val="21"/>
              </w:rPr>
              <w:t>北京市医院管理中心</w:t>
            </w:r>
          </w:p>
        </w:tc>
        <w:tc>
          <w:tcPr>
            <w:tcW w:w="3240" w:type="dxa"/>
            <w:gridSpan w:val="2"/>
          </w:tcPr>
          <w:p>
            <w:pPr>
              <w:pStyle w:val="TableParagraph"/>
              <w:spacing w:before="46"/>
              <w:ind w:left="1079" w:right="1050"/>
              <w:jc w:val="center"/>
              <w:rPr>
                <w:sz w:val="21"/>
              </w:rPr>
            </w:pPr>
            <w:r>
              <w:rPr>
                <w:sz w:val="21"/>
              </w:rPr>
              <w:t>实施单位</w:t>
            </w:r>
          </w:p>
        </w:tc>
        <w:tc>
          <w:tcPr>
            <w:tcW w:w="5160" w:type="dxa"/>
            <w:gridSpan w:val="5"/>
          </w:tcPr>
          <w:p>
            <w:pPr>
              <w:pStyle w:val="TableParagraph"/>
              <w:spacing w:before="46"/>
              <w:ind w:left="1129"/>
              <w:rPr>
                <w:sz w:val="21"/>
              </w:rPr>
            </w:pPr>
            <w:r>
              <w:rPr>
                <w:sz w:val="21"/>
              </w:rPr>
              <w:t>首都医科大学附属北京妇产医院</w:t>
            </w:r>
          </w:p>
        </w:tc>
      </w:tr>
      <w:tr>
        <w:trPr>
          <w:trHeight w:val="348" w:hRule="atLeast"/>
        </w:trPr>
        <w:tc>
          <w:tcPr>
            <w:tcW w:w="2074" w:type="dxa"/>
            <w:gridSpan w:val="2"/>
          </w:tcPr>
          <w:p>
            <w:pPr>
              <w:pStyle w:val="TableParagraph"/>
              <w:spacing w:before="46"/>
              <w:ind w:left="511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</w:tc>
        <w:tc>
          <w:tcPr>
            <w:tcW w:w="5766" w:type="dxa"/>
            <w:gridSpan w:val="5"/>
          </w:tcPr>
          <w:p>
            <w:pPr>
              <w:pStyle w:val="TableParagraph"/>
              <w:spacing w:before="46"/>
              <w:ind w:left="1917" w:right="1898"/>
              <w:jc w:val="center"/>
              <w:rPr>
                <w:sz w:val="21"/>
              </w:rPr>
            </w:pPr>
            <w:r>
              <w:rPr>
                <w:sz w:val="21"/>
              </w:rPr>
              <w:t>江滢</w:t>
            </w:r>
          </w:p>
        </w:tc>
        <w:tc>
          <w:tcPr>
            <w:tcW w:w="3240" w:type="dxa"/>
            <w:gridSpan w:val="2"/>
          </w:tcPr>
          <w:p>
            <w:pPr>
              <w:pStyle w:val="TableParagraph"/>
              <w:spacing w:before="46"/>
              <w:ind w:left="1079" w:right="1050"/>
              <w:jc w:val="center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5160" w:type="dxa"/>
            <w:gridSpan w:val="5"/>
          </w:tcPr>
          <w:p>
            <w:pPr>
              <w:pStyle w:val="TableParagraph"/>
              <w:spacing w:before="46"/>
              <w:ind w:left="2150" w:right="2110"/>
              <w:jc w:val="center"/>
              <w:rPr>
                <w:sz w:val="21"/>
              </w:rPr>
            </w:pPr>
            <w:r>
              <w:rPr>
                <w:sz w:val="21"/>
              </w:rPr>
              <w:t>52275415</w:t>
            </w:r>
          </w:p>
        </w:tc>
      </w:tr>
      <w:tr>
        <w:trPr>
          <w:trHeight w:val="348" w:hRule="atLeast"/>
        </w:trPr>
        <w:tc>
          <w:tcPr>
            <w:tcW w:w="2074" w:type="dxa"/>
            <w:gridSpan w:val="2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62" w:lineRule="exact" w:before="142"/>
              <w:ind w:left="616"/>
              <w:rPr>
                <w:sz w:val="21"/>
              </w:rPr>
            </w:pPr>
            <w:r>
              <w:rPr>
                <w:w w:val="95"/>
                <w:sz w:val="21"/>
              </w:rPr>
              <w:t>项目资金</w:t>
            </w:r>
          </w:p>
          <w:p>
            <w:pPr>
              <w:pStyle w:val="TableParagraph"/>
              <w:spacing w:line="262" w:lineRule="exact"/>
              <w:ind w:left="616"/>
              <w:rPr>
                <w:sz w:val="21"/>
              </w:rPr>
            </w:pPr>
            <w:r>
              <w:rPr>
                <w:w w:val="95"/>
                <w:sz w:val="21"/>
              </w:rPr>
              <w:t>（万元）</w:t>
            </w:r>
          </w:p>
        </w:tc>
        <w:tc>
          <w:tcPr>
            <w:tcW w:w="2057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2" w:type="dxa"/>
          </w:tcPr>
          <w:p>
            <w:pPr>
              <w:pStyle w:val="TableParagraph"/>
              <w:spacing w:before="53"/>
              <w:ind w:left="89" w:right="62"/>
              <w:jc w:val="center"/>
              <w:rPr>
                <w:sz w:val="21"/>
              </w:rPr>
            </w:pPr>
            <w:r>
              <w:rPr>
                <w:sz w:val="21"/>
              </w:rPr>
              <w:t>年初预算数</w:t>
            </w:r>
          </w:p>
        </w:tc>
        <w:tc>
          <w:tcPr>
            <w:tcW w:w="2447" w:type="dxa"/>
            <w:gridSpan w:val="2"/>
          </w:tcPr>
          <w:p>
            <w:pPr>
              <w:pStyle w:val="TableParagraph"/>
              <w:spacing w:before="46"/>
              <w:ind w:left="704"/>
              <w:rPr>
                <w:sz w:val="21"/>
              </w:rPr>
            </w:pPr>
            <w:r>
              <w:rPr>
                <w:sz w:val="21"/>
              </w:rPr>
              <w:t>全年预算数</w:t>
            </w:r>
          </w:p>
        </w:tc>
        <w:tc>
          <w:tcPr>
            <w:tcW w:w="3240" w:type="dxa"/>
            <w:gridSpan w:val="2"/>
          </w:tcPr>
          <w:p>
            <w:pPr>
              <w:pStyle w:val="TableParagraph"/>
              <w:spacing w:before="46"/>
              <w:ind w:left="1079" w:right="1050"/>
              <w:jc w:val="center"/>
              <w:rPr>
                <w:sz w:val="21"/>
              </w:rPr>
            </w:pPr>
            <w:r>
              <w:rPr>
                <w:sz w:val="21"/>
              </w:rPr>
              <w:t>全年执行数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94" w:right="61"/>
              <w:jc w:val="center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98" w:right="61"/>
              <w:jc w:val="center"/>
              <w:rPr>
                <w:sz w:val="21"/>
              </w:rPr>
            </w:pPr>
            <w:r>
              <w:rPr>
                <w:sz w:val="21"/>
              </w:rPr>
              <w:t>执行率</w:t>
            </w:r>
          </w:p>
        </w:tc>
        <w:tc>
          <w:tcPr>
            <w:tcW w:w="1032" w:type="dxa"/>
          </w:tcPr>
          <w:p>
            <w:pPr>
              <w:pStyle w:val="TableParagraph"/>
              <w:spacing w:before="53"/>
              <w:ind w:left="298" w:right="254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rPr>
          <w:trHeight w:val="348" w:hRule="atLeast"/>
        </w:trPr>
        <w:tc>
          <w:tcPr>
            <w:tcW w:w="20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gridSpan w:val="2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年度资金总额</w:t>
            </w:r>
          </w:p>
        </w:tc>
        <w:tc>
          <w:tcPr>
            <w:tcW w:w="1262" w:type="dxa"/>
          </w:tcPr>
          <w:p>
            <w:pPr>
              <w:pStyle w:val="TableParagraph"/>
              <w:spacing w:before="53"/>
              <w:ind w:left="89" w:right="62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447" w:type="dxa"/>
            <w:gridSpan w:val="2"/>
          </w:tcPr>
          <w:p>
            <w:pPr>
              <w:pStyle w:val="TableParagraph"/>
              <w:spacing w:before="46"/>
              <w:ind w:left="1101" w:right="1075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3240" w:type="dxa"/>
            <w:gridSpan w:val="2"/>
          </w:tcPr>
          <w:p>
            <w:pPr>
              <w:pStyle w:val="TableParagraph"/>
              <w:spacing w:before="46"/>
              <w:ind w:left="1079" w:right="1050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94" w:right="6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98" w:right="61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  <w:tc>
          <w:tcPr>
            <w:tcW w:w="1032" w:type="dxa"/>
          </w:tcPr>
          <w:p>
            <w:pPr>
              <w:pStyle w:val="TableParagraph"/>
              <w:spacing w:before="53"/>
              <w:ind w:left="298" w:right="254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rPr>
          <w:trHeight w:val="348" w:hRule="atLeast"/>
        </w:trPr>
        <w:tc>
          <w:tcPr>
            <w:tcW w:w="20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gridSpan w:val="2"/>
          </w:tcPr>
          <w:p>
            <w:pPr>
              <w:pStyle w:val="TableParagraph"/>
              <w:spacing w:before="46"/>
              <w:ind w:left="86"/>
              <w:rPr>
                <w:sz w:val="21"/>
              </w:rPr>
            </w:pPr>
            <w:r>
              <w:rPr>
                <w:sz w:val="21"/>
              </w:rPr>
              <w:t>其中：当年财政拨款</w:t>
            </w:r>
          </w:p>
        </w:tc>
        <w:tc>
          <w:tcPr>
            <w:tcW w:w="1262" w:type="dxa"/>
          </w:tcPr>
          <w:p>
            <w:pPr>
              <w:pStyle w:val="TableParagraph"/>
              <w:spacing w:before="53"/>
              <w:ind w:left="89" w:right="62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447" w:type="dxa"/>
            <w:gridSpan w:val="2"/>
          </w:tcPr>
          <w:p>
            <w:pPr>
              <w:pStyle w:val="TableParagraph"/>
              <w:spacing w:before="46"/>
              <w:ind w:left="1100" w:right="1075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3240" w:type="dxa"/>
            <w:gridSpan w:val="2"/>
          </w:tcPr>
          <w:p>
            <w:pPr>
              <w:pStyle w:val="TableParagraph"/>
              <w:spacing w:before="46"/>
              <w:ind w:left="1079" w:right="1050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spacing w:before="53"/>
              <w:ind w:left="4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</w:tr>
      <w:tr>
        <w:trPr>
          <w:trHeight w:val="348" w:hRule="atLeast"/>
        </w:trPr>
        <w:tc>
          <w:tcPr>
            <w:tcW w:w="20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gridSpan w:val="2"/>
          </w:tcPr>
          <w:p>
            <w:pPr>
              <w:pStyle w:val="TableParagraph"/>
              <w:spacing w:before="46"/>
              <w:ind w:left="712"/>
              <w:rPr>
                <w:sz w:val="21"/>
              </w:rPr>
            </w:pPr>
            <w:r>
              <w:rPr>
                <w:sz w:val="21"/>
              </w:rPr>
              <w:t>上年结转资金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spacing w:before="53"/>
              <w:ind w:left="4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</w:tr>
      <w:tr>
        <w:trPr>
          <w:trHeight w:val="348" w:hRule="atLeast"/>
        </w:trPr>
        <w:tc>
          <w:tcPr>
            <w:tcW w:w="20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gridSpan w:val="2"/>
          </w:tcPr>
          <w:p>
            <w:pPr>
              <w:pStyle w:val="TableParagraph"/>
              <w:spacing w:before="46"/>
              <w:ind w:left="503"/>
              <w:rPr>
                <w:sz w:val="21"/>
              </w:rPr>
            </w:pPr>
            <w:r>
              <w:rPr>
                <w:w w:val="99"/>
                <w:sz w:val="21"/>
              </w:rPr>
              <w:t>  </w:t>
            </w:r>
            <w:r>
              <w:rPr>
                <w:sz w:val="21"/>
              </w:rPr>
              <w:t>其他资金</w:t>
            </w:r>
          </w:p>
        </w:tc>
        <w:tc>
          <w:tcPr>
            <w:tcW w:w="12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4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</w:tcPr>
          <w:p>
            <w:pPr>
              <w:pStyle w:val="TableParagraph"/>
              <w:spacing w:before="53"/>
              <w:ind w:left="4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</w:tr>
      <w:tr>
        <w:trPr>
          <w:trHeight w:val="348" w:hRule="atLeast"/>
        </w:trPr>
        <w:tc>
          <w:tcPr>
            <w:tcW w:w="104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225" w:lineRule="auto"/>
              <w:ind w:left="309" w:right="41" w:hanging="209"/>
              <w:rPr>
                <w:sz w:val="21"/>
              </w:rPr>
            </w:pPr>
            <w:r>
              <w:rPr>
                <w:sz w:val="21"/>
              </w:rPr>
              <w:t>年度总体目标</w:t>
            </w:r>
          </w:p>
        </w:tc>
        <w:tc>
          <w:tcPr>
            <w:tcW w:w="6799" w:type="dxa"/>
            <w:gridSpan w:val="6"/>
          </w:tcPr>
          <w:p>
            <w:pPr>
              <w:pStyle w:val="TableParagraph"/>
              <w:spacing w:before="46"/>
              <w:ind w:left="2957" w:right="2941"/>
              <w:jc w:val="center"/>
              <w:rPr>
                <w:sz w:val="21"/>
              </w:rPr>
            </w:pPr>
            <w:r>
              <w:rPr>
                <w:sz w:val="21"/>
              </w:rPr>
              <w:t>预期目标</w:t>
            </w:r>
          </w:p>
        </w:tc>
        <w:tc>
          <w:tcPr>
            <w:tcW w:w="8400" w:type="dxa"/>
            <w:gridSpan w:val="7"/>
          </w:tcPr>
          <w:p>
            <w:pPr>
              <w:pStyle w:val="TableParagraph"/>
              <w:spacing w:before="46"/>
              <w:ind w:left="3559" w:right="3521"/>
              <w:jc w:val="center"/>
              <w:rPr>
                <w:sz w:val="21"/>
              </w:rPr>
            </w:pPr>
            <w:r>
              <w:rPr>
                <w:sz w:val="21"/>
              </w:rPr>
              <w:t>实际完成情况</w:t>
            </w:r>
          </w:p>
        </w:tc>
      </w:tr>
      <w:tr>
        <w:trPr>
          <w:trHeight w:val="417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9" w:type="dxa"/>
            <w:gridSpan w:val="6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27" w:right="71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按照研究方案有序推开第六期“青苗”各课题的研究，充分合理使用项目  </w:t>
            </w:r>
            <w:r>
              <w:rPr>
                <w:sz w:val="21"/>
              </w:rPr>
              <w:t>经费，获得初步成果：（1）开展课题“利用高通量测序技术开展早发性卵巢功能不全的遗传学诊断研究”，完成外显子组测序20例；（2）进行“液相色谱-串联质谱技术在高苯丙氨酸血症鉴别诊断中的应用研究”， </w:t>
            </w:r>
            <w:r>
              <w:rPr>
                <w:spacing w:val="-1"/>
                <w:w w:val="95"/>
                <w:sz w:val="21"/>
              </w:rPr>
              <w:t>收集并建立高苯丙氨酸血症患者临床基本信息和样本库，明确所有收集的  </w:t>
            </w:r>
            <w:r>
              <w:rPr>
                <w:sz w:val="21"/>
              </w:rPr>
              <w:t>患者最终的临床诊断及分型，完成干血滤纸片中8种蝶呤代谢物的液相色</w:t>
            </w:r>
            <w:r>
              <w:rPr>
                <w:spacing w:val="-1"/>
                <w:w w:val="95"/>
                <w:sz w:val="21"/>
              </w:rPr>
              <w:t>谱串联质谱检测方法的建立，并初步评估所建立质谱方法的方法学性能；</w:t>
            </w:r>
          </w:p>
          <w:p>
            <w:pPr>
              <w:pStyle w:val="TableParagraph"/>
              <w:spacing w:line="225" w:lineRule="auto" w:before="7"/>
              <w:ind w:left="27" w:right="71"/>
              <w:rPr>
                <w:sz w:val="21"/>
              </w:rPr>
            </w:pPr>
            <w:r>
              <w:rPr>
                <w:sz w:val="21"/>
              </w:rPr>
              <w:t>（3）展开“孕产妇队列科研数据平台的建立、应用和共享机制探索”课</w:t>
            </w:r>
            <w:r>
              <w:rPr>
                <w:w w:val="95"/>
                <w:sz w:val="21"/>
              </w:rPr>
              <w:t>题研究，进行组学实验1项，撰写学术论文并进行投稿；（4）</w:t>
            </w:r>
            <w:r>
              <w:rPr>
                <w:spacing w:val="-4"/>
                <w:w w:val="95"/>
                <w:sz w:val="21"/>
              </w:rPr>
              <w:t>开展课题“ </w:t>
            </w:r>
            <w:r>
              <w:rPr>
                <w:sz w:val="21"/>
              </w:rPr>
              <w:t>Cx43/GJIC调控人脐带间充质干细胞向子宫内膜样细胞分化的机制研究</w:t>
            </w:r>
            <w:r>
              <w:rPr>
                <w:spacing w:val="-1"/>
                <w:w w:val="95"/>
                <w:sz w:val="21"/>
              </w:rPr>
              <w:t>”，完成标本采集及分离培养，细化研究方案并有序开展细胞试验，探索</w:t>
            </w:r>
            <w:r>
              <w:rPr>
                <w:w w:val="95"/>
                <w:sz w:val="21"/>
              </w:rPr>
              <w:t>hUCMSCs向子宫内膜样细胞诱导分化的共培养体系；（5）</w:t>
            </w:r>
            <w:r>
              <w:rPr>
                <w:spacing w:val="-3"/>
                <w:w w:val="95"/>
                <w:sz w:val="21"/>
              </w:rPr>
              <w:t>进行“细胞外囊  </w:t>
            </w:r>
            <w:r>
              <w:rPr>
                <w:spacing w:val="-1"/>
                <w:w w:val="95"/>
                <w:sz w:val="21"/>
              </w:rPr>
              <w:t>泡搭载溶瘤腺病毒对宫颈癌细胞的特异性杀伤的探索”课题，成功培育各  </w:t>
            </w:r>
            <w:r>
              <w:rPr>
                <w:w w:val="95"/>
                <w:sz w:val="21"/>
              </w:rPr>
              <w:t>细胞系及完成各siRNA、质粒的构建，验证溶瘤腺病毒对HPV</w:t>
            </w:r>
            <w:r>
              <w:rPr>
                <w:spacing w:val="-4"/>
                <w:w w:val="95"/>
                <w:sz w:val="21"/>
              </w:rPr>
              <w:t>阳性宫颈癌细  </w:t>
            </w:r>
            <w:r>
              <w:rPr>
                <w:sz w:val="21"/>
              </w:rPr>
              <w:t>胞具有特异性杀伤效果，监测溶瘤腺病毒可被包裹于细胞外囊泡中。</w:t>
            </w:r>
          </w:p>
        </w:tc>
        <w:tc>
          <w:tcPr>
            <w:tcW w:w="8400" w:type="dxa"/>
            <w:gridSpan w:val="7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225" w:lineRule="auto"/>
              <w:ind w:left="38" w:right="96"/>
              <w:rPr>
                <w:sz w:val="21"/>
              </w:rPr>
            </w:pPr>
            <w:r>
              <w:rPr>
                <w:sz w:val="21"/>
              </w:rPr>
              <w:t>2021年有序推开5个课题的研究，共撰写、发表论文2篇，财政经费预算15万元充分使用， 研究参与人员满意度超过90%，入组受试者满意度超80%，完成了年度绩效目标：       1.课题“利用高通量测序技术开展早发性卵巢功能不全的遗传学诊断研究”，完成外显子组测序48例，发表SCI论文1篇，影响因子7.329；2.进行“液相色谱-串联质谱技术在高苯丙氨酸血症鉴别诊断中的应用研究”，收集并建立了50例高苯丙氨酸血症患者临床基本信息和样本库，所有样本质量符合伦理标准，明确所有收集患者最终的临床诊断及分型，初</w:t>
            </w:r>
            <w:r>
              <w:rPr>
                <w:spacing w:val="-1"/>
                <w:w w:val="95"/>
                <w:sz w:val="21"/>
              </w:rPr>
              <w:t>步明确了干血滤纸片中蝶呤类物质液相色谱-串联质谱检测方法的建立流程，并逐项优化参   </w:t>
            </w:r>
            <w:r>
              <w:rPr>
                <w:w w:val="95"/>
                <w:sz w:val="21"/>
              </w:rPr>
              <w:t>数；3.展开“孕产妇队列科研数据平台的建立、应用和共享机制探索”研究，整合1</w:t>
            </w:r>
            <w:r>
              <w:rPr>
                <w:spacing w:val="-7"/>
                <w:w w:val="95"/>
                <w:sz w:val="21"/>
              </w:rPr>
              <w:t>万例产   </w:t>
            </w:r>
            <w:r>
              <w:rPr>
                <w:w w:val="95"/>
                <w:sz w:val="21"/>
              </w:rPr>
              <w:t>科临床电子病例信息和出生人口队列资料，检测了维生素靶向代谢组学，撰写了文章1</w:t>
            </w:r>
            <w:r>
              <w:rPr>
                <w:spacing w:val="-9"/>
                <w:w w:val="95"/>
                <w:sz w:val="21"/>
              </w:rPr>
              <w:t>篇，   </w:t>
            </w:r>
            <w:r>
              <w:rPr>
                <w:w w:val="95"/>
                <w:sz w:val="21"/>
              </w:rPr>
              <w:t>正在投稿；4.进行“Cx43/GJIC</w:t>
            </w:r>
            <w:r>
              <w:rPr>
                <w:spacing w:val="-1"/>
                <w:w w:val="95"/>
                <w:sz w:val="21"/>
              </w:rPr>
              <w:t>调控人脐带间充质干细胞向子宫内膜样细胞分化的机制研究</w:t>
            </w:r>
            <w:r>
              <w:rPr>
                <w:sz w:val="21"/>
              </w:rPr>
              <w:t>”，有序开展人脐带间充质干细胞、子宫内膜细胞的培养，成功构建干细胞与子宫内膜细</w:t>
            </w:r>
            <w:r>
              <w:rPr>
                <w:w w:val="95"/>
                <w:sz w:val="21"/>
              </w:rPr>
              <w:t>胞的共培养体系，采用诱导分化培养基，使得干细胞转化率可达25%；5.</w:t>
            </w:r>
            <w:r>
              <w:rPr>
                <w:spacing w:val="-3"/>
                <w:w w:val="95"/>
                <w:sz w:val="21"/>
              </w:rPr>
              <w:t>开展“细胞外囊泡   </w:t>
            </w:r>
            <w:r>
              <w:rPr>
                <w:sz w:val="21"/>
              </w:rPr>
              <w:t>搭载溶瘤腺病毒对宫颈癌细胞的特异性杀伤的探索”课题，已成功培育各细胞系并完成各siRNA、质粒的构建，验证了溶瘤腺病毒CB016对HPV阳性宫颈癌细胞的杀伤作用，并完成CB016在细胞外囊泡中的表达与鉴定。</w:t>
            </w:r>
          </w:p>
        </w:tc>
      </w:tr>
      <w:tr>
        <w:trPr>
          <w:trHeight w:val="546" w:hRule="atLeast"/>
        </w:trPr>
        <w:tc>
          <w:tcPr>
            <w:tcW w:w="104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spacing w:line="225" w:lineRule="auto"/>
              <w:ind w:left="414" w:right="396"/>
              <w:jc w:val="both"/>
              <w:rPr>
                <w:sz w:val="21"/>
              </w:rPr>
            </w:pPr>
            <w:r>
              <w:rPr>
                <w:sz w:val="21"/>
              </w:rPr>
              <w:t>绩效指标</w:t>
            </w:r>
          </w:p>
        </w:tc>
        <w:tc>
          <w:tcPr>
            <w:tcW w:w="1033" w:type="dxa"/>
          </w:tcPr>
          <w:p>
            <w:pPr>
              <w:pStyle w:val="TableParagraph"/>
              <w:spacing w:before="154"/>
              <w:ind w:left="93"/>
              <w:rPr>
                <w:sz w:val="21"/>
              </w:rPr>
            </w:pPr>
            <w:r>
              <w:rPr>
                <w:sz w:val="21"/>
              </w:rPr>
              <w:t>一级指标</w:t>
            </w:r>
          </w:p>
        </w:tc>
        <w:tc>
          <w:tcPr>
            <w:tcW w:w="1033" w:type="dxa"/>
          </w:tcPr>
          <w:p>
            <w:pPr>
              <w:pStyle w:val="TableParagraph"/>
              <w:spacing w:before="154"/>
              <w:ind w:left="70" w:right="62"/>
              <w:jc w:val="center"/>
              <w:rPr>
                <w:sz w:val="21"/>
              </w:rPr>
            </w:pPr>
            <w:r>
              <w:rPr>
                <w:sz w:val="21"/>
              </w:rPr>
              <w:t>二级指标</w:t>
            </w: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144"/>
              <w:ind w:left="1218" w:right="1199"/>
              <w:jc w:val="center"/>
              <w:rPr>
                <w:sz w:val="21"/>
              </w:rPr>
            </w:pPr>
            <w:r>
              <w:rPr>
                <w:sz w:val="21"/>
              </w:rPr>
              <w:t>三级指标</w:t>
            </w:r>
          </w:p>
        </w:tc>
        <w:tc>
          <w:tcPr>
            <w:tcW w:w="1415" w:type="dxa"/>
          </w:tcPr>
          <w:p>
            <w:pPr>
              <w:pStyle w:val="TableParagraph"/>
              <w:spacing w:before="154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年度指标值</w:t>
            </w:r>
          </w:p>
        </w:tc>
        <w:tc>
          <w:tcPr>
            <w:tcW w:w="2208" w:type="dxa"/>
          </w:tcPr>
          <w:p>
            <w:pPr>
              <w:pStyle w:val="TableParagraph"/>
              <w:spacing w:before="154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实际完成值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144"/>
              <w:ind w:left="92" w:right="61"/>
              <w:jc w:val="center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144"/>
              <w:ind w:left="96" w:right="61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line="254" w:lineRule="exact" w:before="25"/>
              <w:ind w:left="833" w:right="26" w:hanging="731"/>
              <w:rPr>
                <w:sz w:val="21"/>
              </w:rPr>
            </w:pPr>
            <w:r>
              <w:rPr>
                <w:sz w:val="21"/>
              </w:rPr>
              <w:t>偏差原因分析及改进措施</w:t>
            </w: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3"/>
              <w:rPr>
                <w:sz w:val="21"/>
              </w:rPr>
            </w:pPr>
            <w:r>
              <w:rPr>
                <w:sz w:val="21"/>
              </w:rPr>
              <w:t>产出指标</w:t>
            </w:r>
          </w:p>
        </w:tc>
        <w:tc>
          <w:tcPr>
            <w:tcW w:w="103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67"/>
              <w:ind w:left="93"/>
              <w:rPr>
                <w:sz w:val="21"/>
              </w:rPr>
            </w:pPr>
            <w:r>
              <w:rPr>
                <w:sz w:val="21"/>
              </w:rPr>
              <w:t>数量指标</w:t>
            </w: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开展课题研究个数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5个</w:t>
            </w:r>
          </w:p>
        </w:tc>
        <w:tc>
          <w:tcPr>
            <w:tcW w:w="2208" w:type="dxa"/>
          </w:tcPr>
          <w:p>
            <w:pPr>
              <w:pStyle w:val="TableParagraph"/>
              <w:spacing w:before="5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5个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完成外显子组测序实验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20例</w:t>
            </w:r>
          </w:p>
        </w:tc>
        <w:tc>
          <w:tcPr>
            <w:tcW w:w="2208" w:type="dxa"/>
          </w:tcPr>
          <w:p>
            <w:pPr>
              <w:pStyle w:val="TableParagraph"/>
              <w:spacing w:before="5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20例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0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line="254" w:lineRule="exact" w:before="4"/>
              <w:ind w:left="719" w:right="72" w:hanging="627"/>
              <w:rPr>
                <w:sz w:val="21"/>
              </w:rPr>
            </w:pPr>
            <w:r>
              <w:rPr>
                <w:w w:val="95"/>
                <w:sz w:val="21"/>
              </w:rPr>
              <w:t>完成高苯丙氨酸血症患者临床基本</w:t>
            </w:r>
            <w:r>
              <w:rPr>
                <w:sz w:val="21"/>
              </w:rPr>
              <w:t>信息和样本库的收集</w:t>
            </w:r>
          </w:p>
        </w:tc>
        <w:tc>
          <w:tcPr>
            <w:tcW w:w="1415" w:type="dxa"/>
          </w:tcPr>
          <w:p>
            <w:pPr>
              <w:pStyle w:val="TableParagraph"/>
              <w:spacing w:before="13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50例</w:t>
            </w:r>
          </w:p>
        </w:tc>
        <w:tc>
          <w:tcPr>
            <w:tcW w:w="2208" w:type="dxa"/>
          </w:tcPr>
          <w:p>
            <w:pPr>
              <w:pStyle w:val="TableParagraph"/>
              <w:spacing w:before="13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50例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12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12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5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撰写、发表论文</w:t>
            </w:r>
          </w:p>
        </w:tc>
        <w:tc>
          <w:tcPr>
            <w:tcW w:w="1415" w:type="dxa"/>
          </w:tcPr>
          <w:p>
            <w:pPr>
              <w:pStyle w:val="TableParagraph"/>
              <w:spacing w:before="50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1-2篇</w:t>
            </w:r>
          </w:p>
        </w:tc>
        <w:tc>
          <w:tcPr>
            <w:tcW w:w="2208" w:type="dxa"/>
          </w:tcPr>
          <w:p>
            <w:pPr>
              <w:pStyle w:val="TableParagraph"/>
              <w:spacing w:before="50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2篇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3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3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spacing w:before="1"/>
              <w:ind w:left="93"/>
              <w:rPr>
                <w:sz w:val="21"/>
              </w:rPr>
            </w:pPr>
            <w:r>
              <w:rPr>
                <w:sz w:val="21"/>
              </w:rPr>
              <w:t>质量指标</w:t>
            </w: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收集的临床样本达到的标准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符合伦理标准</w:t>
            </w:r>
          </w:p>
        </w:tc>
        <w:tc>
          <w:tcPr>
            <w:tcW w:w="2208" w:type="dxa"/>
          </w:tcPr>
          <w:p>
            <w:pPr>
              <w:pStyle w:val="TableParagraph"/>
              <w:spacing w:before="5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通过伦理审查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25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27"/>
              <w:rPr>
                <w:sz w:val="21"/>
              </w:rPr>
            </w:pPr>
            <w:r>
              <w:rPr>
                <w:sz w:val="21"/>
              </w:rPr>
              <w:t>发表的论文达到的标准</w:t>
            </w:r>
          </w:p>
        </w:tc>
        <w:tc>
          <w:tcPr>
            <w:tcW w:w="1415" w:type="dxa"/>
          </w:tcPr>
          <w:p>
            <w:pPr>
              <w:pStyle w:val="TableParagraph"/>
              <w:spacing w:line="254" w:lineRule="exact" w:before="46"/>
              <w:ind w:left="86" w:right="54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达到中文核心</w:t>
            </w:r>
            <w:r>
              <w:rPr>
                <w:sz w:val="21"/>
              </w:rPr>
              <w:t>期刊或SCI论文水平</w:t>
            </w:r>
          </w:p>
        </w:tc>
        <w:tc>
          <w:tcPr>
            <w:tcW w:w="2208" w:type="dxa"/>
          </w:tcPr>
          <w:p>
            <w:pPr>
              <w:pStyle w:val="TableParagraph"/>
              <w:spacing w:line="225" w:lineRule="auto" w:before="177"/>
              <w:ind w:left="849" w:right="39" w:hanging="731"/>
              <w:rPr>
                <w:sz w:val="21"/>
              </w:rPr>
            </w:pPr>
            <w:r>
              <w:rPr>
                <w:sz w:val="21"/>
              </w:rPr>
              <w:t>发表的SCI论文影响因子＞7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92" w:right="6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96" w:right="6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9"/>
              <w:ind w:left="93"/>
              <w:rPr>
                <w:sz w:val="21"/>
              </w:rPr>
            </w:pPr>
            <w:r>
              <w:rPr>
                <w:sz w:val="21"/>
              </w:rPr>
              <w:t>时效指标</w:t>
            </w: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完成方案制定和前期准备工作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6月前</w:t>
            </w:r>
          </w:p>
        </w:tc>
        <w:tc>
          <w:tcPr>
            <w:tcW w:w="2208" w:type="dxa"/>
          </w:tcPr>
          <w:p>
            <w:pPr>
              <w:pStyle w:val="TableParagraph"/>
              <w:spacing w:before="5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完成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完成外显子组测序实验20例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9月前</w:t>
            </w:r>
          </w:p>
        </w:tc>
        <w:tc>
          <w:tcPr>
            <w:tcW w:w="2208" w:type="dxa"/>
          </w:tcPr>
          <w:p>
            <w:pPr>
              <w:pStyle w:val="TableParagraph"/>
              <w:spacing w:before="5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完成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完成论文发表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12月前</w:t>
            </w:r>
          </w:p>
        </w:tc>
        <w:tc>
          <w:tcPr>
            <w:tcW w:w="2208" w:type="dxa"/>
          </w:tcPr>
          <w:p>
            <w:pPr>
              <w:pStyle w:val="TableParagraph"/>
              <w:spacing w:before="5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2021年11月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</w:tcPr>
          <w:p>
            <w:pPr>
              <w:pStyle w:val="TableParagraph"/>
              <w:spacing w:before="53"/>
              <w:ind w:left="70" w:right="62"/>
              <w:jc w:val="center"/>
              <w:rPr>
                <w:sz w:val="21"/>
              </w:rPr>
            </w:pPr>
            <w:r>
              <w:rPr>
                <w:sz w:val="21"/>
              </w:rPr>
              <w:t>成本指标</w:t>
            </w: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项目总预算控制数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208" w:type="dxa"/>
          </w:tcPr>
          <w:p>
            <w:pPr>
              <w:pStyle w:val="TableParagraph"/>
              <w:spacing w:before="5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92" w:right="6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96" w:right="6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353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225" w:lineRule="auto" w:before="1"/>
              <w:ind w:left="302" w:right="41" w:hanging="209"/>
              <w:rPr>
                <w:sz w:val="21"/>
              </w:rPr>
            </w:pPr>
            <w:r>
              <w:rPr>
                <w:sz w:val="21"/>
              </w:rPr>
              <w:t>社会效益指标</w:t>
            </w:r>
          </w:p>
        </w:tc>
        <w:tc>
          <w:tcPr>
            <w:tcW w:w="331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25" w:lineRule="auto" w:before="178"/>
              <w:ind w:left="27" w:right="35"/>
              <w:rPr>
                <w:sz w:val="21"/>
              </w:rPr>
            </w:pPr>
            <w:r>
              <w:rPr>
                <w:w w:val="95"/>
                <w:sz w:val="21"/>
              </w:rPr>
              <w:t>建立一种新的HPA鉴别诊断方法，支</w:t>
            </w:r>
            <w:r>
              <w:rPr>
                <w:sz w:val="21"/>
              </w:rPr>
              <w:t>持临床诊断</w:t>
            </w:r>
          </w:p>
        </w:tc>
        <w:tc>
          <w:tcPr>
            <w:tcW w:w="1415" w:type="dxa"/>
          </w:tcPr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spacing w:line="225" w:lineRule="auto"/>
              <w:ind w:left="86" w:right="54"/>
              <w:jc w:val="both"/>
              <w:rPr>
                <w:sz w:val="21"/>
              </w:rPr>
            </w:pPr>
            <w:r>
              <w:rPr>
                <w:spacing w:val="-4"/>
                <w:sz w:val="21"/>
              </w:rPr>
              <w:t>应用串联质谱技术建立新生儿血蝶呤代谢物的参考区间</w:t>
            </w:r>
          </w:p>
        </w:tc>
        <w:tc>
          <w:tcPr>
            <w:tcW w:w="2208" w:type="dxa"/>
          </w:tcPr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spacing w:line="225" w:lineRule="auto"/>
              <w:ind w:left="66" w:right="32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已收集并建立样本库， 并初步优化了质谱检测方法，完成了部分样本</w:t>
            </w:r>
            <w:r>
              <w:rPr>
                <w:sz w:val="21"/>
              </w:rPr>
              <w:t>的检测。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92" w:right="6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2"/>
              </w:rPr>
            </w:pPr>
          </w:p>
          <w:p>
            <w:pPr>
              <w:pStyle w:val="TableParagraph"/>
              <w:ind w:left="96" w:right="61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1"/>
              <w:rPr>
                <w:sz w:val="14"/>
              </w:rPr>
            </w:pPr>
          </w:p>
          <w:p>
            <w:pPr>
              <w:pStyle w:val="TableParagraph"/>
              <w:spacing w:line="225" w:lineRule="auto"/>
              <w:ind w:left="102" w:right="61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因课题负责人身体原因，检测进度有所滞后，在课题第二年加</w:t>
            </w:r>
            <w:r>
              <w:rPr>
                <w:sz w:val="21"/>
              </w:rPr>
              <w:t>快进度。</w:t>
            </w:r>
          </w:p>
        </w:tc>
      </w:tr>
      <w:tr>
        <w:trPr>
          <w:trHeight w:val="1635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7"/>
              <w:ind w:left="27"/>
              <w:rPr>
                <w:sz w:val="21"/>
              </w:rPr>
            </w:pPr>
            <w:r>
              <w:rPr>
                <w:sz w:val="21"/>
              </w:rPr>
              <w:t>提高干细胞共培养成功率</w:t>
            </w:r>
          </w:p>
        </w:tc>
        <w:tc>
          <w:tcPr>
            <w:tcW w:w="141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20%</w:t>
            </w:r>
          </w:p>
        </w:tc>
        <w:tc>
          <w:tcPr>
            <w:tcW w:w="2208" w:type="dxa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spacing w:line="225" w:lineRule="auto" w:before="1"/>
              <w:ind w:left="66" w:right="32"/>
              <w:jc w:val="center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成功构建干细胞与子宫</w:t>
            </w:r>
            <w:r>
              <w:rPr>
                <w:sz w:val="21"/>
              </w:rPr>
              <w:t>内膜细胞的共培养体 </w:t>
            </w:r>
            <w:r>
              <w:rPr>
                <w:spacing w:val="-2"/>
                <w:w w:val="95"/>
                <w:sz w:val="21"/>
              </w:rPr>
              <w:t>系，采用诱导分化培养基，使得干细胞转化率</w:t>
            </w:r>
            <w:r>
              <w:rPr>
                <w:sz w:val="21"/>
              </w:rPr>
              <w:t>可达25%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7"/>
              <w:ind w:left="92" w:right="61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7"/>
              <w:ind w:left="96" w:right="61"/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TableParagraph"/>
              <w:spacing w:line="225" w:lineRule="auto" w:before="114"/>
              <w:ind w:left="406" w:right="41" w:hanging="314"/>
              <w:rPr>
                <w:sz w:val="21"/>
              </w:rPr>
            </w:pPr>
            <w:r>
              <w:rPr>
                <w:sz w:val="21"/>
              </w:rPr>
              <w:t>满意度指标</w:t>
            </w:r>
          </w:p>
        </w:tc>
        <w:tc>
          <w:tcPr>
            <w:tcW w:w="1033" w:type="dxa"/>
            <w:vMerge w:val="restart"/>
          </w:tcPr>
          <w:p>
            <w:pPr>
              <w:pStyle w:val="TableParagraph"/>
              <w:spacing w:line="225" w:lineRule="auto" w:before="114"/>
              <w:ind w:left="93" w:right="41"/>
              <w:rPr>
                <w:sz w:val="21"/>
              </w:rPr>
            </w:pPr>
            <w:r>
              <w:rPr>
                <w:sz w:val="21"/>
              </w:rPr>
              <w:t>服务对象满意度标</w:t>
            </w: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入组受试者满意度</w:t>
            </w:r>
          </w:p>
        </w:tc>
        <w:tc>
          <w:tcPr>
            <w:tcW w:w="1415" w:type="dxa"/>
          </w:tcPr>
          <w:p>
            <w:pPr>
              <w:pStyle w:val="TableParagraph"/>
              <w:spacing w:before="53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达80%</w:t>
            </w:r>
          </w:p>
        </w:tc>
        <w:tc>
          <w:tcPr>
            <w:tcW w:w="2208" w:type="dxa"/>
          </w:tcPr>
          <w:p>
            <w:pPr>
              <w:pStyle w:val="TableParagraph"/>
              <w:spacing w:before="53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96.97%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8" w:type="dxa"/>
            <w:gridSpan w:val="3"/>
          </w:tcPr>
          <w:p>
            <w:pPr>
              <w:pStyle w:val="TableParagraph"/>
              <w:spacing w:before="46"/>
              <w:ind w:left="27"/>
              <w:rPr>
                <w:sz w:val="21"/>
              </w:rPr>
            </w:pPr>
            <w:r>
              <w:rPr>
                <w:sz w:val="21"/>
              </w:rPr>
              <w:t>研究参与人员满意度</w:t>
            </w:r>
          </w:p>
        </w:tc>
        <w:tc>
          <w:tcPr>
            <w:tcW w:w="1415" w:type="dxa"/>
          </w:tcPr>
          <w:p>
            <w:pPr>
              <w:pStyle w:val="TableParagraph"/>
              <w:spacing w:before="54"/>
              <w:ind w:left="62" w:right="32"/>
              <w:jc w:val="center"/>
              <w:rPr>
                <w:sz w:val="21"/>
              </w:rPr>
            </w:pPr>
            <w:r>
              <w:rPr>
                <w:sz w:val="21"/>
              </w:rPr>
              <w:t>达90%</w:t>
            </w:r>
          </w:p>
        </w:tc>
        <w:tc>
          <w:tcPr>
            <w:tcW w:w="2208" w:type="dxa"/>
          </w:tcPr>
          <w:p>
            <w:pPr>
              <w:pStyle w:val="TableParagraph"/>
              <w:spacing w:before="54"/>
              <w:ind w:left="64" w:right="32"/>
              <w:jc w:val="center"/>
              <w:rPr>
                <w:sz w:val="21"/>
              </w:rPr>
            </w:pPr>
            <w:r>
              <w:rPr>
                <w:sz w:val="21"/>
              </w:rPr>
              <w:t>98.86%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7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3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7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8" w:hRule="atLeast"/>
        </w:trPr>
        <w:tc>
          <w:tcPr>
            <w:tcW w:w="10048" w:type="dxa"/>
            <w:gridSpan w:val="8"/>
          </w:tcPr>
          <w:p>
            <w:pPr>
              <w:pStyle w:val="TableParagraph"/>
              <w:spacing w:before="46"/>
              <w:ind w:left="4796" w:right="4772"/>
              <w:jc w:val="center"/>
              <w:rPr>
                <w:sz w:val="21"/>
              </w:rPr>
            </w:pPr>
            <w:r>
              <w:rPr>
                <w:sz w:val="21"/>
              </w:rPr>
              <w:t>总分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92" w:right="61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spacing w:before="46"/>
              <w:ind w:left="96" w:right="61"/>
              <w:jc w:val="center"/>
              <w:rPr>
                <w:sz w:val="21"/>
              </w:rPr>
            </w:pPr>
            <w:r>
              <w:rPr>
                <w:sz w:val="21"/>
              </w:rPr>
              <w:t>95.5</w:t>
            </w:r>
          </w:p>
        </w:tc>
        <w:tc>
          <w:tcPr>
            <w:tcW w:w="20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275" w:lineRule="exact" w:before="30"/>
      </w:pPr>
      <w:r>
        <w:rPr/>
        <w:t>填报注意事项：</w:t>
      </w:r>
    </w:p>
    <w:p>
      <w:pPr>
        <w:pStyle w:val="ListParagraph"/>
        <w:numPr>
          <w:ilvl w:val="0"/>
          <w:numId w:val="1"/>
        </w:numPr>
        <w:tabs>
          <w:tab w:pos="372" w:val="left" w:leader="none"/>
        </w:tabs>
        <w:spacing w:line="268" w:lineRule="exact" w:before="0" w:after="0"/>
        <w:ind w:left="371" w:right="0" w:hanging="223"/>
        <w:jc w:val="left"/>
        <w:rPr>
          <w:sz w:val="22"/>
        </w:rPr>
      </w:pPr>
      <w:r>
        <w:rPr>
          <w:sz w:val="22"/>
        </w:rPr>
        <w:t>得分一档最高不能超过该指标分值上限。</w:t>
      </w:r>
    </w:p>
    <w:p>
      <w:pPr>
        <w:pStyle w:val="ListParagraph"/>
        <w:numPr>
          <w:ilvl w:val="0"/>
          <w:numId w:val="1"/>
        </w:numPr>
        <w:tabs>
          <w:tab w:pos="817" w:val="left" w:leader="none"/>
        </w:tabs>
        <w:spacing w:line="228" w:lineRule="auto" w:before="4" w:after="0"/>
        <w:ind w:left="148" w:right="325" w:firstLine="445"/>
        <w:jc w:val="left"/>
        <w:rPr>
          <w:sz w:val="22"/>
        </w:rPr>
      </w:pPr>
      <w:r>
        <w:rPr>
          <w:w w:val="95"/>
          <w:sz w:val="22"/>
        </w:rPr>
        <w:t>定量指标若为正向指标，则得分计算方法应用全年实际值（B）/年度指标值（A）*该指标分值；若定量指标为反向指标，则得分计算方法应用年度指标值</w:t>
      </w:r>
      <w:r>
        <w:rPr>
          <w:spacing w:val="-3"/>
          <w:w w:val="95"/>
          <w:sz w:val="22"/>
        </w:rPr>
        <w:t>（A）/      </w:t>
      </w:r>
      <w:r>
        <w:rPr>
          <w:sz w:val="22"/>
        </w:rPr>
        <w:t>全年实际值（B）*该指标分值。若年初指标值设定偏低，则得分计算方法应用（全年实际值（B）—年度指标值（A））/年度指标值（A）*100%。若计算结果在200%-</w:t>
      </w:r>
    </w:p>
    <w:p>
      <w:pPr>
        <w:pStyle w:val="BodyText"/>
        <w:spacing w:line="228" w:lineRule="auto"/>
        <w:ind w:right="174"/>
      </w:pPr>
      <w:r>
        <w:rPr>
          <w:w w:val="95"/>
        </w:rPr>
        <w:t>300%（含200%）区间，则按照该指标分值的10%扣分；计算结果在300%-500%（含300%）区间，则按照该指标分值的20%扣分；计算结果高于500%（含500%），则按照该指      </w:t>
      </w:r>
      <w:r>
        <w:rPr/>
        <w:t>标分值的30%扣分。</w:t>
      </w:r>
    </w:p>
    <w:p>
      <w:pPr>
        <w:pStyle w:val="ListParagraph"/>
        <w:numPr>
          <w:ilvl w:val="0"/>
          <w:numId w:val="1"/>
        </w:numPr>
        <w:tabs>
          <w:tab w:pos="372" w:val="left" w:leader="none"/>
        </w:tabs>
        <w:spacing w:line="264" w:lineRule="exact" w:before="0" w:after="0"/>
        <w:ind w:left="371" w:right="0" w:hanging="223"/>
        <w:jc w:val="left"/>
        <w:rPr>
          <w:sz w:val="22"/>
        </w:rPr>
      </w:pPr>
      <w:r>
        <w:rPr>
          <w:sz w:val="22"/>
        </w:rPr>
        <w:t>请在“偏差原因分析及改进措施”中说明偏离目标、不能完成目标的原因及拟采取的措施。</w:t>
      </w:r>
    </w:p>
    <w:p>
      <w:pPr>
        <w:pStyle w:val="BodyText"/>
        <w:spacing w:line="275" w:lineRule="exact"/>
      </w:pPr>
      <w:r>
        <w:rPr/>
        <w:t>4.90（含）-100分为优、80（含）-90分为良、60（含）-80分为中、60分以下为差。</w:t>
      </w:r>
    </w:p>
    <w:sectPr>
      <w:type w:val="continuous"/>
      <w:pgSz w:w="17260" w:h="24410"/>
      <w:pgMar w:top="700" w:bottom="280" w:left="38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71" w:hanging="223"/>
        <w:jc w:val="right"/>
      </w:pPr>
      <w:rPr>
        <w:rFonts w:hint="default" w:ascii="宋体" w:hAnsi="宋体" w:eastAsia="宋体" w:cs="宋体"/>
        <w:spacing w:val="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1991" w:hanging="22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602" w:hanging="22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213" w:hanging="22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824" w:hanging="22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436" w:hanging="22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0047" w:hanging="22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1658" w:hanging="22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3269" w:hanging="22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>
      <w:ind w:left="148"/>
    </w:pPr>
    <w:rPr>
      <w:rFonts w:ascii="宋体" w:hAnsi="宋体" w:eastAsia="宋体" w:cs="宋体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371" w:hanging="223"/>
    </w:pPr>
    <w:rPr>
      <w:rFonts w:ascii="宋体" w:hAnsi="宋体" w:eastAsia="宋体" w:cs="宋体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佟音</dc:creator>
  <dcterms:created xsi:type="dcterms:W3CDTF">2022-05-13T06:37:42Z</dcterms:created>
  <dcterms:modified xsi:type="dcterms:W3CDTF">2022-05-13T06:37:42Z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Acrobat PDFMaker 19 Excel 版</vt:lpwstr>
  </property>
  <property fmtid="{D5CDD505-2E9C-101B-9397-08002B2CF9AE}" pid="4" name="LastSaved">
    <vt:filetime>2022-05-13T00:00:00Z</vt:filetime>
  </property>
</Properties>
</file>