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732"/>
        <w:gridCol w:w="382"/>
        <w:gridCol w:w="1018"/>
        <w:gridCol w:w="1214"/>
        <w:gridCol w:w="548"/>
        <w:gridCol w:w="148"/>
        <w:gridCol w:w="573"/>
        <w:gridCol w:w="263"/>
        <w:gridCol w:w="699"/>
      </w:tblGrid>
      <w:tr w:rsidR="00AB2B99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2B99" w:rsidRDefault="00741D9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AB2B99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B2B99" w:rsidRDefault="00741D9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 2021年度）</w:t>
            </w:r>
          </w:p>
        </w:tc>
      </w:tr>
      <w:tr w:rsidR="00AB2B9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市属医院学科发展</w:t>
            </w:r>
          </w:p>
        </w:tc>
      </w:tr>
      <w:tr w:rsidR="00AB2B99" w:rsidTr="00EC08B6">
        <w:trPr>
          <w:trHeight w:hRule="exact" w:val="593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EC08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EC08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AB2B9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李鑫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982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84322130</w:t>
            </w:r>
          </w:p>
        </w:tc>
      </w:tr>
      <w:tr w:rsidR="00AB2B99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B2B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110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107.40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110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107.40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110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99.2</w:t>
            </w:r>
            <w:r w:rsidR="00741D93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110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9.9</w:t>
            </w:r>
          </w:p>
        </w:tc>
      </w:tr>
      <w:tr w:rsidR="00AB2B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110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107.40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110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107.40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E726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99.2%</w:t>
            </w:r>
            <w:bookmarkStart w:id="0" w:name="_GoBack"/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B2B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B2B9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B2B9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B2B99" w:rsidTr="00F80A61">
        <w:trPr>
          <w:trHeight w:hRule="exact" w:val="434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开展感染性疾病领域临床技术研发及成果推广、感染性疾病领域培训与教学、感染性疾病领域人才培养及梯度建设、感染性疾病领域学术交流和合作平台建设等工作，完成获得性免疫缺陷综合症综合诊疗、中西医结合传染病重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症重点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医学专业建设，三个临床研究项目的开展，建成具有国内外领先/先进水平的感染性疾病领域研发、临床应用、感染性疾病平台/中心，提高医院感染性疾病领域医疗和服务水平。</w:t>
            </w:r>
          </w:p>
          <w:p w:rsidR="00AB2B99" w:rsidRDefault="00741D9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本年度目标：进一步完善乙肝肝癌、肺炎（重症肺炎）患者中西医结合诊疗研究的前瞻性、临床对照的设计方案，拟开展对住院患者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痰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诱导与感染病实验室合作进行早期肺部病原学诊断的研究，发表文章35篇，其中SCI 20篇，最高影响因子大于5分，申报省部级以上课题3项，培养研究生3-4人，举办继续教育学习班2次，参加学术交流10人次。</w:t>
            </w:r>
          </w:p>
        </w:tc>
        <w:tc>
          <w:tcPr>
            <w:tcW w:w="34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已建立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艾滋病机会</w:t>
            </w:r>
            <w:proofErr w:type="gramStart"/>
            <w:r>
              <w:rPr>
                <w:rFonts w:ascii="宋体" w:hAnsi="宋体" w:cs="宋体"/>
                <w:kern w:val="0"/>
                <w:sz w:val="18"/>
                <w:szCs w:val="18"/>
              </w:rPr>
              <w:t>性进准</w:t>
            </w:r>
            <w:proofErr w:type="gramEnd"/>
            <w:r>
              <w:rPr>
                <w:rFonts w:ascii="宋体" w:hAnsi="宋体" w:cs="宋体"/>
                <w:kern w:val="0"/>
                <w:sz w:val="18"/>
                <w:szCs w:val="18"/>
              </w:rPr>
              <w:t>诊断和治疗平台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HIV治疗的标准化初具规模；抗病毒治疗新药研究平台和新的治疗策略逐步推进；已完善乙肝肝癌、肺炎（重症肺炎）患者中西医结合诊疗研究的前瞻性、临床对照的设计方案，制定人才梯队培养计划和实施方案。完成论文发表25篇，其中SCI 13篇，中文12篇。培养研究生11人；</w:t>
            </w:r>
          </w:p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B2B99" w:rsidTr="00741D93">
        <w:trPr>
          <w:trHeight w:hRule="exact" w:val="7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发表文章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SCI  20篇，中文核心期刊15篇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SCI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13篇，中文12篇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2.8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8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申报课题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省部级以上科研课题3项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3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培养研究生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3名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11名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9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参加全国学术会议，外送医师人员出国进修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10人次学术会议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人次学术会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继续教育项目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4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发表文章的SCI影响因子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影响因子高于5分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5篇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1F33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1F33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10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学术会议的形式及内容的适应性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达到90%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完成，线上线下相结合，参加学术交流大会发言。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1F33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1F33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3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研究生、医护人员的专业水平提升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提升70%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研究生发言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2人次，研究生发表论文SCI5篇，核心5篇，博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导增加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1名，博士学位增加2个；主任医师增加1名，副高增加2名，中级2名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1F33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1F33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完成文章发表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12月前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12月前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Pr="00A6103D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5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完成研究生培养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12月前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12月前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7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完成学术会议的开展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12月前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12月前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完成继续教育项目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12月前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12月前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18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110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7.4</w:t>
            </w:r>
            <w:r w:rsidR="00741D93">
              <w:rPr>
                <w:rFonts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110F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106.5万元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61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2.1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因疫情原因，除会议费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0.9万未支出，其余均完成</w:t>
            </w:r>
          </w:p>
        </w:tc>
      </w:tr>
      <w:tr w:rsidR="00AB2B99" w:rsidTr="00741D93">
        <w:trPr>
          <w:trHeight w:hRule="exact" w:val="5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</w:t>
            </w:r>
          </w:p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临床研究平台建立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有效持续促进发展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艾滋病门诊治疗标准化持续推进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406F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406F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0223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0223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406F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406F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406F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2B99" w:rsidTr="00741D93">
        <w:trPr>
          <w:trHeight w:hRule="exact" w:val="291"/>
          <w:jc w:val="center"/>
        </w:trPr>
        <w:tc>
          <w:tcPr>
            <w:tcW w:w="66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741D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97.8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B99" w:rsidRDefault="00AB2B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B2B99" w:rsidRDefault="00AB2B99"/>
    <w:sectPr w:rsidR="00AB2B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17"/>
    <w:rsid w:val="00022303"/>
    <w:rsid w:val="00034589"/>
    <w:rsid w:val="00110F3F"/>
    <w:rsid w:val="00127233"/>
    <w:rsid w:val="001F339E"/>
    <w:rsid w:val="002766B1"/>
    <w:rsid w:val="002C2029"/>
    <w:rsid w:val="00304079"/>
    <w:rsid w:val="00406F1E"/>
    <w:rsid w:val="00501917"/>
    <w:rsid w:val="005D7CE9"/>
    <w:rsid w:val="00642D44"/>
    <w:rsid w:val="006A66FF"/>
    <w:rsid w:val="00741D93"/>
    <w:rsid w:val="00784B49"/>
    <w:rsid w:val="00865DAE"/>
    <w:rsid w:val="00982CE1"/>
    <w:rsid w:val="00A6103D"/>
    <w:rsid w:val="00AB2B99"/>
    <w:rsid w:val="00B56318"/>
    <w:rsid w:val="00B7484D"/>
    <w:rsid w:val="00E7260F"/>
    <w:rsid w:val="00EC08B6"/>
    <w:rsid w:val="00F7044D"/>
    <w:rsid w:val="00F80A61"/>
    <w:rsid w:val="00FD3E18"/>
    <w:rsid w:val="17E55EA3"/>
    <w:rsid w:val="292C77A3"/>
    <w:rsid w:val="361F0DAD"/>
    <w:rsid w:val="6258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黄健</cp:lastModifiedBy>
  <cp:revision>23</cp:revision>
  <dcterms:created xsi:type="dcterms:W3CDTF">2022-04-23T05:19:00Z</dcterms:created>
  <dcterms:modified xsi:type="dcterms:W3CDTF">2022-05-04T04:52:00Z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532A26DC70F849319590CCA20C685426</vt:lpwstr>
  </property>
</Properties>
</file>