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ayout w:type="fixed"/>
        <w:tblLook w:val="04A0"/>
      </w:tblPr>
      <w:tblGrid>
        <w:gridCol w:w="525"/>
        <w:gridCol w:w="525"/>
        <w:gridCol w:w="476"/>
        <w:gridCol w:w="992"/>
        <w:gridCol w:w="425"/>
        <w:gridCol w:w="709"/>
        <w:gridCol w:w="142"/>
        <w:gridCol w:w="652"/>
        <w:gridCol w:w="340"/>
        <w:gridCol w:w="142"/>
        <w:gridCol w:w="826"/>
        <w:gridCol w:w="166"/>
        <w:gridCol w:w="142"/>
        <w:gridCol w:w="567"/>
        <w:gridCol w:w="142"/>
        <w:gridCol w:w="567"/>
        <w:gridCol w:w="299"/>
        <w:gridCol w:w="634"/>
      </w:tblGrid>
      <w:tr w:rsidR="00FF6A4D" w:rsidRPr="00FF6A4D" w:rsidTr="00FF6A4D">
        <w:trPr>
          <w:trHeight w:val="450"/>
        </w:trPr>
        <w:tc>
          <w:tcPr>
            <w:tcW w:w="8271" w:type="dxa"/>
            <w:gridSpan w:val="18"/>
            <w:tcBorders>
              <w:top w:val="nil"/>
              <w:left w:val="nil"/>
              <w:bottom w:val="nil"/>
              <w:right w:val="nil"/>
            </w:tcBorders>
            <w:noWrap/>
            <w:hideMark/>
          </w:tcPr>
          <w:p w:rsidR="00FF6A4D" w:rsidRPr="00FF6A4D" w:rsidRDefault="00FF6A4D" w:rsidP="00FF6A4D">
            <w:pPr>
              <w:widowControl/>
              <w:spacing w:line="320" w:lineRule="exact"/>
              <w:jc w:val="center"/>
            </w:pPr>
            <w:r w:rsidRPr="00FF6A4D">
              <w:rPr>
                <w:rFonts w:ascii="宋体" w:eastAsia="宋体" w:hAnsi="宋体" w:cs="宋体" w:hint="eastAsia"/>
                <w:b/>
                <w:bCs/>
                <w:kern w:val="0"/>
                <w:sz w:val="32"/>
                <w:szCs w:val="32"/>
              </w:rPr>
              <w:t>项目支出绩效自评表</w:t>
            </w:r>
          </w:p>
        </w:tc>
      </w:tr>
      <w:tr w:rsidR="00FF6A4D" w:rsidRPr="00FF6A4D" w:rsidTr="00FF6A4D">
        <w:trPr>
          <w:trHeight w:val="375"/>
        </w:trPr>
        <w:tc>
          <w:tcPr>
            <w:tcW w:w="8271" w:type="dxa"/>
            <w:gridSpan w:val="18"/>
            <w:tcBorders>
              <w:top w:val="nil"/>
              <w:left w:val="nil"/>
              <w:bottom w:val="single" w:sz="4" w:space="0" w:color="auto"/>
              <w:right w:val="nil"/>
            </w:tcBorders>
            <w:noWrap/>
            <w:hideMark/>
          </w:tcPr>
          <w:p w:rsidR="00FF6A4D" w:rsidRPr="00FF6A4D" w:rsidRDefault="00FF6A4D" w:rsidP="00FF6A4D">
            <w:pPr>
              <w:widowControl/>
              <w:jc w:val="center"/>
            </w:pPr>
            <w:r w:rsidRPr="00FF6A4D">
              <w:rPr>
                <w:rFonts w:ascii="宋体" w:eastAsia="宋体" w:hAnsi="宋体" w:cs="宋体" w:hint="eastAsia"/>
                <w:kern w:val="0"/>
                <w:sz w:val="22"/>
                <w:szCs w:val="24"/>
              </w:rPr>
              <w:t>（    2021  年度）</w:t>
            </w:r>
          </w:p>
        </w:tc>
      </w:tr>
      <w:tr w:rsidR="00FF6A4D" w:rsidRPr="00FF6A4D" w:rsidTr="00FF6A4D">
        <w:trPr>
          <w:trHeight w:val="312"/>
        </w:trPr>
        <w:tc>
          <w:tcPr>
            <w:tcW w:w="1050" w:type="dxa"/>
            <w:gridSpan w:val="2"/>
            <w:tcBorders>
              <w:top w:val="single" w:sz="4" w:space="0" w:color="auto"/>
              <w:left w:val="single" w:sz="4" w:space="0" w:color="auto"/>
              <w:bottom w:val="single" w:sz="4" w:space="0" w:color="auto"/>
              <w:right w:val="single" w:sz="4" w:space="0" w:color="auto"/>
            </w:tcBorders>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项目名称</w:t>
            </w:r>
          </w:p>
        </w:tc>
        <w:tc>
          <w:tcPr>
            <w:tcW w:w="7221" w:type="dxa"/>
            <w:gridSpan w:val="16"/>
            <w:tcBorders>
              <w:top w:val="single" w:sz="4" w:space="0" w:color="auto"/>
              <w:left w:val="single" w:sz="4" w:space="0" w:color="auto"/>
              <w:bottom w:val="single" w:sz="4" w:space="0" w:color="auto"/>
              <w:right w:val="single" w:sz="4" w:space="0" w:color="auto"/>
            </w:tcBorders>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医用设备购置（尾款）</w:t>
            </w:r>
          </w:p>
        </w:tc>
      </w:tr>
      <w:tr w:rsidR="00FF6A4D" w:rsidRPr="00FF6A4D" w:rsidTr="00FF6A4D">
        <w:trPr>
          <w:trHeight w:val="312"/>
        </w:trPr>
        <w:tc>
          <w:tcPr>
            <w:tcW w:w="1050" w:type="dxa"/>
            <w:gridSpan w:val="2"/>
            <w:tcBorders>
              <w:top w:val="single" w:sz="4" w:space="0" w:color="auto"/>
            </w:tcBorders>
            <w:vAlign w:val="center"/>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主管部门</w:t>
            </w:r>
          </w:p>
        </w:tc>
        <w:tc>
          <w:tcPr>
            <w:tcW w:w="3396" w:type="dxa"/>
            <w:gridSpan w:val="6"/>
            <w:tcBorders>
              <w:top w:val="single" w:sz="4" w:space="0" w:color="auto"/>
            </w:tcBorders>
            <w:vAlign w:val="center"/>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北京市医院管理中心</w:t>
            </w:r>
          </w:p>
        </w:tc>
        <w:tc>
          <w:tcPr>
            <w:tcW w:w="1308" w:type="dxa"/>
            <w:gridSpan w:val="3"/>
            <w:tcBorders>
              <w:top w:val="single" w:sz="4" w:space="0" w:color="auto"/>
            </w:tcBorders>
            <w:vAlign w:val="center"/>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实施单位</w:t>
            </w:r>
          </w:p>
        </w:tc>
        <w:tc>
          <w:tcPr>
            <w:tcW w:w="2517" w:type="dxa"/>
            <w:gridSpan w:val="7"/>
            <w:tcBorders>
              <w:top w:val="single" w:sz="4" w:space="0" w:color="auto"/>
            </w:tcBorders>
            <w:vAlign w:val="center"/>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首都医科大学附属北京胸科医院</w:t>
            </w:r>
          </w:p>
        </w:tc>
      </w:tr>
      <w:tr w:rsidR="00FF6A4D" w:rsidRPr="00FF6A4D" w:rsidTr="00FF6A4D">
        <w:trPr>
          <w:trHeight w:val="312"/>
        </w:trPr>
        <w:tc>
          <w:tcPr>
            <w:tcW w:w="1050" w:type="dxa"/>
            <w:gridSpan w:val="2"/>
            <w:vAlign w:val="center"/>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项目负责人</w:t>
            </w:r>
          </w:p>
        </w:tc>
        <w:tc>
          <w:tcPr>
            <w:tcW w:w="3396" w:type="dxa"/>
            <w:gridSpan w:val="6"/>
            <w:vAlign w:val="center"/>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王建国</w:t>
            </w:r>
          </w:p>
        </w:tc>
        <w:tc>
          <w:tcPr>
            <w:tcW w:w="1308" w:type="dxa"/>
            <w:gridSpan w:val="3"/>
            <w:vAlign w:val="center"/>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联系电话</w:t>
            </w:r>
          </w:p>
        </w:tc>
        <w:tc>
          <w:tcPr>
            <w:tcW w:w="2517" w:type="dxa"/>
            <w:gridSpan w:val="7"/>
            <w:vAlign w:val="center"/>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89509127</w:t>
            </w:r>
          </w:p>
        </w:tc>
      </w:tr>
      <w:tr w:rsidR="00FF6A4D" w:rsidRPr="00FF6A4D" w:rsidTr="00FF6A4D">
        <w:trPr>
          <w:trHeight w:val="540"/>
        </w:trPr>
        <w:tc>
          <w:tcPr>
            <w:tcW w:w="1050" w:type="dxa"/>
            <w:gridSpan w:val="2"/>
            <w:vMerge w:val="restart"/>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项目资金</w:t>
            </w:r>
            <w:r w:rsidRPr="00FF6A4D">
              <w:rPr>
                <w:rFonts w:asciiTheme="minorEastAsia" w:hAnsiTheme="minorEastAsia" w:hint="eastAsia"/>
                <w:sz w:val="18"/>
                <w:szCs w:val="18"/>
              </w:rPr>
              <w:br/>
              <w:t>（万元）</w:t>
            </w:r>
          </w:p>
        </w:tc>
        <w:tc>
          <w:tcPr>
            <w:tcW w:w="1893"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851" w:type="dxa"/>
            <w:gridSpan w:val="2"/>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年初预算数</w:t>
            </w:r>
          </w:p>
        </w:tc>
        <w:tc>
          <w:tcPr>
            <w:tcW w:w="1134" w:type="dxa"/>
            <w:gridSpan w:val="3"/>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全年预算数</w:t>
            </w:r>
          </w:p>
        </w:tc>
        <w:tc>
          <w:tcPr>
            <w:tcW w:w="1134" w:type="dxa"/>
            <w:gridSpan w:val="3"/>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全年执行数</w:t>
            </w:r>
          </w:p>
        </w:tc>
        <w:tc>
          <w:tcPr>
            <w:tcW w:w="709" w:type="dxa"/>
            <w:gridSpan w:val="2"/>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分值</w:t>
            </w:r>
          </w:p>
        </w:tc>
        <w:tc>
          <w:tcPr>
            <w:tcW w:w="866" w:type="dxa"/>
            <w:gridSpan w:val="2"/>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执行率</w:t>
            </w:r>
          </w:p>
        </w:tc>
        <w:tc>
          <w:tcPr>
            <w:tcW w:w="634" w:type="dxa"/>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得分</w:t>
            </w:r>
          </w:p>
        </w:tc>
      </w:tr>
      <w:tr w:rsidR="00FF6A4D" w:rsidRPr="00FF6A4D" w:rsidTr="00FF6A4D">
        <w:trPr>
          <w:trHeight w:val="312"/>
        </w:trPr>
        <w:tc>
          <w:tcPr>
            <w:tcW w:w="1050" w:type="dxa"/>
            <w:gridSpan w:val="2"/>
            <w:vMerge/>
            <w:hideMark/>
          </w:tcPr>
          <w:p w:rsidR="00FF6A4D" w:rsidRPr="00FF6A4D" w:rsidRDefault="00FF6A4D">
            <w:pPr>
              <w:rPr>
                <w:rFonts w:asciiTheme="minorEastAsia" w:hAnsiTheme="minorEastAsia"/>
                <w:sz w:val="18"/>
                <w:szCs w:val="18"/>
              </w:rPr>
            </w:pPr>
          </w:p>
        </w:tc>
        <w:tc>
          <w:tcPr>
            <w:tcW w:w="1893" w:type="dxa"/>
            <w:gridSpan w:val="3"/>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年度资金总额</w:t>
            </w:r>
          </w:p>
        </w:tc>
        <w:tc>
          <w:tcPr>
            <w:tcW w:w="851"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470.594333</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470.594333</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10</w:t>
            </w:r>
          </w:p>
        </w:tc>
        <w:tc>
          <w:tcPr>
            <w:tcW w:w="866"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1</w:t>
            </w:r>
          </w:p>
        </w:tc>
        <w:tc>
          <w:tcPr>
            <w:tcW w:w="634" w:type="dxa"/>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10</w:t>
            </w:r>
          </w:p>
        </w:tc>
      </w:tr>
      <w:tr w:rsidR="00FF6A4D" w:rsidRPr="00FF6A4D" w:rsidTr="00FF6A4D">
        <w:trPr>
          <w:trHeight w:val="312"/>
        </w:trPr>
        <w:tc>
          <w:tcPr>
            <w:tcW w:w="1050" w:type="dxa"/>
            <w:gridSpan w:val="2"/>
            <w:vMerge/>
            <w:hideMark/>
          </w:tcPr>
          <w:p w:rsidR="00FF6A4D" w:rsidRPr="00FF6A4D" w:rsidRDefault="00FF6A4D">
            <w:pPr>
              <w:rPr>
                <w:rFonts w:asciiTheme="minorEastAsia" w:hAnsiTheme="minorEastAsia"/>
                <w:sz w:val="18"/>
                <w:szCs w:val="18"/>
              </w:rPr>
            </w:pPr>
          </w:p>
        </w:tc>
        <w:tc>
          <w:tcPr>
            <w:tcW w:w="1893"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其中：当年财政拨款</w:t>
            </w:r>
          </w:p>
        </w:tc>
        <w:tc>
          <w:tcPr>
            <w:tcW w:w="851"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470.594333</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470.594333</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c>
          <w:tcPr>
            <w:tcW w:w="866"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634" w:type="dxa"/>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1050" w:type="dxa"/>
            <w:gridSpan w:val="2"/>
            <w:vMerge/>
            <w:hideMark/>
          </w:tcPr>
          <w:p w:rsidR="00FF6A4D" w:rsidRPr="00FF6A4D" w:rsidRDefault="00FF6A4D">
            <w:pPr>
              <w:rPr>
                <w:rFonts w:asciiTheme="minorEastAsia" w:hAnsiTheme="minorEastAsia"/>
                <w:sz w:val="18"/>
                <w:szCs w:val="18"/>
              </w:rPr>
            </w:pPr>
          </w:p>
        </w:tc>
        <w:tc>
          <w:tcPr>
            <w:tcW w:w="1893"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上年结转资金</w:t>
            </w:r>
          </w:p>
        </w:tc>
        <w:tc>
          <w:tcPr>
            <w:tcW w:w="851"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0</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c>
          <w:tcPr>
            <w:tcW w:w="866"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634" w:type="dxa"/>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1050" w:type="dxa"/>
            <w:gridSpan w:val="2"/>
            <w:vMerge/>
            <w:hideMark/>
          </w:tcPr>
          <w:p w:rsidR="00FF6A4D" w:rsidRPr="00FF6A4D" w:rsidRDefault="00FF6A4D">
            <w:pPr>
              <w:rPr>
                <w:rFonts w:asciiTheme="minorEastAsia" w:hAnsiTheme="minorEastAsia"/>
                <w:sz w:val="18"/>
                <w:szCs w:val="18"/>
              </w:rPr>
            </w:pPr>
          </w:p>
        </w:tc>
        <w:tc>
          <w:tcPr>
            <w:tcW w:w="1893"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其他资金</w:t>
            </w:r>
          </w:p>
        </w:tc>
        <w:tc>
          <w:tcPr>
            <w:tcW w:w="851"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0</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c>
          <w:tcPr>
            <w:tcW w:w="866"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　</w:t>
            </w:r>
          </w:p>
        </w:tc>
        <w:tc>
          <w:tcPr>
            <w:tcW w:w="634" w:type="dxa"/>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val="restart"/>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年度总体目标</w:t>
            </w:r>
          </w:p>
        </w:tc>
        <w:tc>
          <w:tcPr>
            <w:tcW w:w="4261" w:type="dxa"/>
            <w:gridSpan w:val="8"/>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预期目标</w:t>
            </w:r>
          </w:p>
        </w:tc>
        <w:tc>
          <w:tcPr>
            <w:tcW w:w="3485" w:type="dxa"/>
            <w:gridSpan w:val="9"/>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实际完成情况</w:t>
            </w:r>
          </w:p>
        </w:tc>
      </w:tr>
      <w:tr w:rsidR="00FF6A4D" w:rsidRPr="00FF6A4D" w:rsidTr="00FF6A4D">
        <w:trPr>
          <w:trHeight w:val="1905"/>
        </w:trPr>
        <w:tc>
          <w:tcPr>
            <w:tcW w:w="525" w:type="dxa"/>
            <w:vMerge/>
            <w:hideMark/>
          </w:tcPr>
          <w:p w:rsidR="00FF6A4D" w:rsidRPr="00FF6A4D" w:rsidRDefault="00FF6A4D">
            <w:pPr>
              <w:rPr>
                <w:rFonts w:asciiTheme="minorEastAsia" w:hAnsiTheme="minorEastAsia"/>
                <w:sz w:val="18"/>
                <w:szCs w:val="18"/>
              </w:rPr>
            </w:pPr>
          </w:p>
        </w:tc>
        <w:tc>
          <w:tcPr>
            <w:tcW w:w="4261" w:type="dxa"/>
            <w:gridSpan w:val="8"/>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年初设定目标：通过购置自动分枝杆菌培养仪、彩色多普勒超声诊断仪、超高清胸腔镜系统、呼吸机系统、移动DR等29类设备，完善医院学科体系建设，开展新业务，提高检测效率,提高医疗安全，为临床诊断提供可靠的技术支持，缩短检验检查时间，提高肺癌筛查水平，提高临床服务质量，增加治疗方式。为新建呼吸科配置基础医疗设备，</w:t>
            </w:r>
            <w:proofErr w:type="gramStart"/>
            <w:r w:rsidRPr="00FF6A4D">
              <w:rPr>
                <w:rFonts w:asciiTheme="minorEastAsia" w:hAnsiTheme="minorEastAsia" w:hint="eastAsia"/>
                <w:sz w:val="18"/>
                <w:szCs w:val="18"/>
              </w:rPr>
              <w:t>完善开展</w:t>
            </w:r>
            <w:proofErr w:type="gramEnd"/>
            <w:r w:rsidRPr="00FF6A4D">
              <w:rPr>
                <w:rFonts w:asciiTheme="minorEastAsia" w:hAnsiTheme="minorEastAsia" w:hint="eastAsia"/>
                <w:sz w:val="18"/>
                <w:szCs w:val="18"/>
              </w:rPr>
              <w:t xml:space="preserve">呼吸相关疾病的诊断与治疗。                                                                                 </w:t>
            </w:r>
          </w:p>
        </w:tc>
        <w:tc>
          <w:tcPr>
            <w:tcW w:w="3485" w:type="dxa"/>
            <w:gridSpan w:val="9"/>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年度总体目标完成情况综述：通过购买新设备，完善医院学科体系建设，开展新业务，提高检测效率,提高医疗安全，为临床诊断提供可靠的技术支持，缩短检验检查时间，提高肺癌筛查水平，提高临床服务质量，增加治疗方式。为新建呼吸科配置基础医疗设备，</w:t>
            </w:r>
            <w:proofErr w:type="gramStart"/>
            <w:r w:rsidRPr="00FF6A4D">
              <w:rPr>
                <w:rFonts w:asciiTheme="minorEastAsia" w:hAnsiTheme="minorEastAsia" w:hint="eastAsia"/>
                <w:sz w:val="18"/>
                <w:szCs w:val="18"/>
              </w:rPr>
              <w:t>完善开展</w:t>
            </w:r>
            <w:proofErr w:type="gramEnd"/>
            <w:r w:rsidRPr="00FF6A4D">
              <w:rPr>
                <w:rFonts w:asciiTheme="minorEastAsia" w:hAnsiTheme="minorEastAsia" w:hint="eastAsia"/>
                <w:sz w:val="18"/>
                <w:szCs w:val="18"/>
              </w:rPr>
              <w:t xml:space="preserve">呼吸相关疾病的诊断与治疗。  </w:t>
            </w:r>
          </w:p>
        </w:tc>
      </w:tr>
      <w:tr w:rsidR="00FF6A4D" w:rsidRPr="00FF6A4D" w:rsidTr="00FF6A4D">
        <w:trPr>
          <w:trHeight w:val="642"/>
        </w:trPr>
        <w:tc>
          <w:tcPr>
            <w:tcW w:w="525" w:type="dxa"/>
            <w:vMerge w:val="restart"/>
            <w:vAlign w:val="center"/>
            <w:hideMark/>
          </w:tcPr>
          <w:p w:rsidR="00FF6A4D" w:rsidRPr="00FF6A4D" w:rsidRDefault="00FF6A4D" w:rsidP="00FF6A4D">
            <w:pPr>
              <w:jc w:val="center"/>
              <w:rPr>
                <w:rFonts w:asciiTheme="minorEastAsia" w:hAnsiTheme="minorEastAsia"/>
                <w:sz w:val="18"/>
                <w:szCs w:val="18"/>
              </w:rPr>
            </w:pPr>
            <w:r w:rsidRPr="00FF6A4D">
              <w:rPr>
                <w:rFonts w:asciiTheme="minorEastAsia" w:hAnsiTheme="minorEastAsia" w:hint="eastAsia"/>
                <w:sz w:val="18"/>
                <w:szCs w:val="18"/>
              </w:rPr>
              <w:t>绩</w:t>
            </w:r>
            <w:r w:rsidRPr="00FF6A4D">
              <w:rPr>
                <w:rFonts w:asciiTheme="minorEastAsia" w:hAnsiTheme="minorEastAsia" w:hint="eastAsia"/>
                <w:sz w:val="18"/>
                <w:szCs w:val="18"/>
              </w:rPr>
              <w:br/>
              <w:t>效</w:t>
            </w:r>
            <w:r w:rsidRPr="00FF6A4D">
              <w:rPr>
                <w:rFonts w:asciiTheme="minorEastAsia" w:hAnsiTheme="minorEastAsia" w:hint="eastAsia"/>
                <w:sz w:val="18"/>
                <w:szCs w:val="18"/>
              </w:rPr>
              <w:br/>
              <w:t>指</w:t>
            </w:r>
            <w:r w:rsidRPr="00FF6A4D">
              <w:rPr>
                <w:rFonts w:asciiTheme="minorEastAsia" w:hAnsiTheme="minorEastAsia" w:hint="eastAsia"/>
                <w:sz w:val="18"/>
                <w:szCs w:val="18"/>
              </w:rPr>
              <w:br/>
              <w:t>标</w:t>
            </w:r>
          </w:p>
        </w:tc>
        <w:tc>
          <w:tcPr>
            <w:tcW w:w="1001"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一级指标</w:t>
            </w:r>
          </w:p>
        </w:tc>
        <w:tc>
          <w:tcPr>
            <w:tcW w:w="992" w:type="dxa"/>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二级指标</w:t>
            </w:r>
          </w:p>
        </w:tc>
        <w:tc>
          <w:tcPr>
            <w:tcW w:w="1134"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三级指标</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年度指标值</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实际完成值</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分值</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得分</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偏差原因分析及改进措施</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val="restart"/>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产出指标</w:t>
            </w:r>
          </w:p>
        </w:tc>
        <w:tc>
          <w:tcPr>
            <w:tcW w:w="992" w:type="dxa"/>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数量指标</w:t>
            </w: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购置医疗设备数</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36</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36</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val="restart"/>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质量指标</w:t>
            </w: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设备质量</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达到国家BG9706.1标准</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达标</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615"/>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设备验收合格率</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通过</w:t>
            </w:r>
            <w:proofErr w:type="gramStart"/>
            <w:r w:rsidRPr="00FF6A4D">
              <w:rPr>
                <w:rFonts w:asciiTheme="minorEastAsia" w:hAnsiTheme="minorEastAsia" w:hint="eastAsia"/>
                <w:sz w:val="18"/>
                <w:szCs w:val="18"/>
              </w:rPr>
              <w:t>医</w:t>
            </w:r>
            <w:proofErr w:type="gramEnd"/>
            <w:r w:rsidRPr="00FF6A4D">
              <w:rPr>
                <w:rFonts w:asciiTheme="minorEastAsia" w:hAnsiTheme="minorEastAsia" w:hint="eastAsia"/>
                <w:sz w:val="18"/>
                <w:szCs w:val="18"/>
              </w:rPr>
              <w:t>工人员、使用人员验收，验收合格率100%</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通过</w:t>
            </w:r>
            <w:proofErr w:type="gramStart"/>
            <w:r w:rsidRPr="00FF6A4D">
              <w:rPr>
                <w:rFonts w:asciiTheme="minorEastAsia" w:hAnsiTheme="minorEastAsia" w:hint="eastAsia"/>
                <w:sz w:val="18"/>
                <w:szCs w:val="18"/>
              </w:rPr>
              <w:t>医</w:t>
            </w:r>
            <w:proofErr w:type="gramEnd"/>
            <w:r w:rsidRPr="00FF6A4D">
              <w:rPr>
                <w:rFonts w:asciiTheme="minorEastAsia" w:hAnsiTheme="minorEastAsia" w:hint="eastAsia"/>
                <w:sz w:val="18"/>
                <w:szCs w:val="18"/>
              </w:rPr>
              <w:t>工人员、使用人员验收，验收合格率100%</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val="restart"/>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时效指标</w:t>
            </w: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完成方案制定和前期准备工作</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已完成</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已完成</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57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完成招标工作及签订合同</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2022年6月底前</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2021年12月底前</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设备采购到</w:t>
            </w:r>
            <w:r w:rsidRPr="00FF6A4D">
              <w:rPr>
                <w:rFonts w:asciiTheme="minorEastAsia" w:hAnsiTheme="minorEastAsia" w:hint="eastAsia"/>
                <w:sz w:val="18"/>
                <w:szCs w:val="18"/>
              </w:rPr>
              <w:lastRenderedPageBreak/>
              <w:t>位、安装、试运行、培训</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lastRenderedPageBreak/>
              <w:t>2022年6月</w:t>
            </w:r>
            <w:r w:rsidRPr="00FF6A4D">
              <w:rPr>
                <w:rFonts w:asciiTheme="minorEastAsia" w:hAnsiTheme="minorEastAsia" w:hint="eastAsia"/>
                <w:sz w:val="18"/>
                <w:szCs w:val="18"/>
              </w:rPr>
              <w:lastRenderedPageBreak/>
              <w:t>底前</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lastRenderedPageBreak/>
              <w:t>2021年12</w:t>
            </w:r>
            <w:r w:rsidRPr="00FF6A4D">
              <w:rPr>
                <w:rFonts w:asciiTheme="minorEastAsia" w:hAnsiTheme="minorEastAsia" w:hint="eastAsia"/>
                <w:sz w:val="18"/>
                <w:szCs w:val="18"/>
              </w:rPr>
              <w:lastRenderedPageBreak/>
              <w:t>月底前</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lastRenderedPageBreak/>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完成项目验收</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2022年6月底前</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2021年12月底前</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项目实施满意度调查</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2022年6月底前</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2021年12月底前</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val="restart"/>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成本指标</w:t>
            </w: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 xml:space="preserve">本年预算控制数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470.594333万元</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470.594333万元</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 xml:space="preserve">降低重复购置的成本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无重复购置设备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无重复购置设备 </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2</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2</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val="restart"/>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效益指标</w:t>
            </w:r>
          </w:p>
        </w:tc>
        <w:tc>
          <w:tcPr>
            <w:tcW w:w="992" w:type="dxa"/>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经济效益指标</w:t>
            </w: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设备利用效益</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80%以上</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85%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312"/>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val="restart"/>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社会效益指标</w:t>
            </w: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治疗有效率</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75%以上</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80%</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60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医疗人员专业能力提升等方面的需求</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满足20个医疗人员提升需求</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满足30个医疗人员提升需求</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78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诊断/治疗/教学工作正常运转方面</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保障自动分枝杆菌培养仪、彩色多普勒超声诊断仪等设备运行无故障率80%</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设备已满足部分诊断/治疗/教学工作正常运转</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183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为医院诊断/治疗/教学提供强有力的硬件条件保障方面</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为提高检测效率、缩短检验检查时间提供硬件条件保障，药敏试验缩短至2-3周出报告，医院诊断治疗设备可降低患者的损伤，减少住院的时间，增加科室病床的周转率，可以增加科室的经济收益。</w:t>
            </w:r>
          </w:p>
        </w:tc>
        <w:tc>
          <w:tcPr>
            <w:tcW w:w="1134" w:type="dxa"/>
            <w:gridSpan w:val="3"/>
            <w:noWrap/>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达标</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102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proofErr w:type="gramStart"/>
            <w:r w:rsidRPr="00FF6A4D">
              <w:rPr>
                <w:rFonts w:asciiTheme="minorEastAsia" w:hAnsiTheme="minorEastAsia" w:hint="eastAsia"/>
                <w:sz w:val="18"/>
                <w:szCs w:val="18"/>
              </w:rPr>
              <w:t>本设备</w:t>
            </w:r>
            <w:proofErr w:type="gramEnd"/>
            <w:r w:rsidRPr="00FF6A4D">
              <w:rPr>
                <w:rFonts w:asciiTheme="minorEastAsia" w:hAnsiTheme="minorEastAsia" w:hint="eastAsia"/>
                <w:sz w:val="18"/>
                <w:szCs w:val="18"/>
              </w:rPr>
              <w:t>在诊断/治疗/教学/科研中提供服务（作用），提升诊断/治疗/教学/科研质量方面</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在分枝杆菌培养检测、耐药性检测等检测和肺癌筛查等诊断治疗教学科研方面提升服务质量</w:t>
            </w:r>
          </w:p>
        </w:tc>
        <w:tc>
          <w:tcPr>
            <w:tcW w:w="1134" w:type="dxa"/>
            <w:gridSpan w:val="3"/>
            <w:noWrap/>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达标</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102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推动社会行业发展方面</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至少引领传染病中的1种传染病:结核病中的结核菌快速培养检测方面的发展</w:t>
            </w:r>
          </w:p>
        </w:tc>
        <w:tc>
          <w:tcPr>
            <w:tcW w:w="1134" w:type="dxa"/>
            <w:gridSpan w:val="3"/>
            <w:noWrap/>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达标</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54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可持续影响指标</w:t>
            </w: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设备完成持续诊断/治疗</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使用6-8年</w:t>
            </w:r>
          </w:p>
        </w:tc>
        <w:tc>
          <w:tcPr>
            <w:tcW w:w="1134" w:type="dxa"/>
            <w:gridSpan w:val="3"/>
            <w:noWrap/>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达标</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w:t>
            </w:r>
          </w:p>
        </w:tc>
      </w:tr>
      <w:tr w:rsidR="00FF6A4D" w:rsidRPr="00FF6A4D" w:rsidTr="00FF6A4D">
        <w:trPr>
          <w:trHeight w:val="114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val="restart"/>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满意度指标</w:t>
            </w:r>
          </w:p>
        </w:tc>
        <w:tc>
          <w:tcPr>
            <w:tcW w:w="992" w:type="dxa"/>
            <w:vMerge w:val="restart"/>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服务对象</w:t>
            </w:r>
            <w:proofErr w:type="gramStart"/>
            <w:r w:rsidRPr="00FF6A4D">
              <w:rPr>
                <w:rFonts w:asciiTheme="minorEastAsia" w:hAnsiTheme="minorEastAsia" w:hint="eastAsia"/>
                <w:sz w:val="18"/>
                <w:szCs w:val="18"/>
              </w:rPr>
              <w:t>满意度标</w:t>
            </w:r>
            <w:proofErr w:type="gramEnd"/>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设备使用人员满意度</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达90%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80%</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3</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因政策调整，部分设备招标采购工作延期，导致设备到货安装时间较晚，故使用人员满意度未达标。</w:t>
            </w:r>
          </w:p>
        </w:tc>
      </w:tr>
      <w:tr w:rsidR="00FF6A4D" w:rsidRPr="00FF6A4D" w:rsidTr="00FF6A4D">
        <w:trPr>
          <w:trHeight w:val="1320"/>
        </w:trPr>
        <w:tc>
          <w:tcPr>
            <w:tcW w:w="525" w:type="dxa"/>
            <w:vMerge/>
            <w:hideMark/>
          </w:tcPr>
          <w:p w:rsidR="00FF6A4D" w:rsidRPr="00FF6A4D" w:rsidRDefault="00FF6A4D">
            <w:pPr>
              <w:rPr>
                <w:rFonts w:asciiTheme="minorEastAsia" w:hAnsiTheme="minorEastAsia"/>
                <w:sz w:val="18"/>
                <w:szCs w:val="18"/>
              </w:rPr>
            </w:pPr>
          </w:p>
        </w:tc>
        <w:tc>
          <w:tcPr>
            <w:tcW w:w="1001" w:type="dxa"/>
            <w:gridSpan w:val="2"/>
            <w:vMerge/>
            <w:hideMark/>
          </w:tcPr>
          <w:p w:rsidR="00FF6A4D" w:rsidRPr="00FF6A4D" w:rsidRDefault="00FF6A4D">
            <w:pPr>
              <w:rPr>
                <w:rFonts w:asciiTheme="minorEastAsia" w:hAnsiTheme="minorEastAsia"/>
                <w:sz w:val="18"/>
                <w:szCs w:val="18"/>
              </w:rPr>
            </w:pPr>
          </w:p>
        </w:tc>
        <w:tc>
          <w:tcPr>
            <w:tcW w:w="992" w:type="dxa"/>
            <w:vMerge/>
            <w:hideMark/>
          </w:tcPr>
          <w:p w:rsidR="00FF6A4D" w:rsidRPr="00FF6A4D" w:rsidRDefault="00FF6A4D">
            <w:pPr>
              <w:rPr>
                <w:rFonts w:asciiTheme="minorEastAsia" w:hAnsiTheme="minorEastAsia"/>
                <w:sz w:val="18"/>
                <w:szCs w:val="18"/>
              </w:rPr>
            </w:pPr>
          </w:p>
        </w:tc>
        <w:tc>
          <w:tcPr>
            <w:tcW w:w="1134" w:type="dxa"/>
            <w:gridSpan w:val="2"/>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设备服务对象（如患者）满意度</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 xml:space="preserve">达80% </w:t>
            </w:r>
          </w:p>
        </w:tc>
        <w:tc>
          <w:tcPr>
            <w:tcW w:w="1134" w:type="dxa"/>
            <w:gridSpan w:val="3"/>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78%</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5</w:t>
            </w:r>
          </w:p>
        </w:tc>
        <w:tc>
          <w:tcPr>
            <w:tcW w:w="709"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4</w:t>
            </w:r>
          </w:p>
        </w:tc>
        <w:tc>
          <w:tcPr>
            <w:tcW w:w="933" w:type="dxa"/>
            <w:gridSpan w:val="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t>因政策调整，部分设备招标采购工作延期，导致设备到货安装时间较晚，</w:t>
            </w:r>
            <w:proofErr w:type="gramStart"/>
            <w:r w:rsidRPr="00FF6A4D">
              <w:rPr>
                <w:rFonts w:asciiTheme="minorEastAsia" w:hAnsiTheme="minorEastAsia" w:hint="eastAsia"/>
                <w:sz w:val="18"/>
                <w:szCs w:val="18"/>
              </w:rPr>
              <w:t>故服务</w:t>
            </w:r>
            <w:proofErr w:type="gramEnd"/>
            <w:r w:rsidRPr="00FF6A4D">
              <w:rPr>
                <w:rFonts w:asciiTheme="minorEastAsia" w:hAnsiTheme="minorEastAsia" w:hint="eastAsia"/>
                <w:sz w:val="18"/>
                <w:szCs w:val="18"/>
              </w:rPr>
              <w:t>对象（患</w:t>
            </w:r>
            <w:r w:rsidRPr="00FF6A4D">
              <w:rPr>
                <w:rFonts w:asciiTheme="minorEastAsia" w:hAnsiTheme="minorEastAsia" w:hint="eastAsia"/>
                <w:sz w:val="18"/>
                <w:szCs w:val="18"/>
              </w:rPr>
              <w:lastRenderedPageBreak/>
              <w:t>者）满意度未达标。</w:t>
            </w:r>
          </w:p>
        </w:tc>
      </w:tr>
      <w:tr w:rsidR="00FF6A4D" w:rsidRPr="00FF6A4D" w:rsidTr="00FF6A4D">
        <w:trPr>
          <w:trHeight w:val="312"/>
        </w:trPr>
        <w:tc>
          <w:tcPr>
            <w:tcW w:w="5920" w:type="dxa"/>
            <w:gridSpan w:val="12"/>
            <w:hideMark/>
          </w:tcPr>
          <w:p w:rsidR="00FF6A4D" w:rsidRPr="00FF6A4D" w:rsidRDefault="00FF6A4D" w:rsidP="00FF6A4D">
            <w:pPr>
              <w:rPr>
                <w:rFonts w:asciiTheme="minorEastAsia" w:hAnsiTheme="minorEastAsia"/>
                <w:sz w:val="18"/>
                <w:szCs w:val="18"/>
              </w:rPr>
            </w:pPr>
            <w:r w:rsidRPr="00FF6A4D">
              <w:rPr>
                <w:rFonts w:asciiTheme="minorEastAsia" w:hAnsiTheme="minorEastAsia" w:hint="eastAsia"/>
                <w:sz w:val="18"/>
                <w:szCs w:val="18"/>
              </w:rPr>
              <w:lastRenderedPageBreak/>
              <w:t>总分</w:t>
            </w:r>
          </w:p>
        </w:tc>
        <w:tc>
          <w:tcPr>
            <w:tcW w:w="709" w:type="dxa"/>
            <w:gridSpan w:val="2"/>
            <w:hideMark/>
          </w:tcPr>
          <w:p w:rsidR="00FF6A4D" w:rsidRPr="00FF6A4D" w:rsidRDefault="00FF6A4D" w:rsidP="00FF6A4D">
            <w:pPr>
              <w:rPr>
                <w:rFonts w:asciiTheme="minorEastAsia" w:hAnsiTheme="minorEastAsia"/>
                <w:sz w:val="18"/>
                <w:szCs w:val="18"/>
              </w:rPr>
            </w:pPr>
            <w:r>
              <w:rPr>
                <w:rFonts w:asciiTheme="minorEastAsia" w:hAnsiTheme="minorEastAsia" w:hint="eastAsia"/>
                <w:sz w:val="18"/>
                <w:szCs w:val="18"/>
              </w:rPr>
              <w:t>100</w:t>
            </w:r>
          </w:p>
        </w:tc>
        <w:tc>
          <w:tcPr>
            <w:tcW w:w="709" w:type="dxa"/>
            <w:gridSpan w:val="2"/>
            <w:hideMark/>
          </w:tcPr>
          <w:p w:rsidR="00FF6A4D" w:rsidRPr="00FF6A4D" w:rsidRDefault="00FF6A4D" w:rsidP="00FF6A4D">
            <w:pPr>
              <w:rPr>
                <w:rFonts w:asciiTheme="minorEastAsia" w:hAnsiTheme="minorEastAsia"/>
                <w:sz w:val="18"/>
                <w:szCs w:val="18"/>
              </w:rPr>
            </w:pPr>
            <w:r>
              <w:rPr>
                <w:rFonts w:asciiTheme="minorEastAsia" w:hAnsiTheme="minorEastAsia" w:hint="eastAsia"/>
                <w:sz w:val="18"/>
                <w:szCs w:val="18"/>
              </w:rPr>
              <w:t>9</w:t>
            </w:r>
            <w:r w:rsidRPr="00FF6A4D">
              <w:rPr>
                <w:rFonts w:asciiTheme="minorEastAsia" w:hAnsiTheme="minorEastAsia" w:hint="eastAsia"/>
                <w:sz w:val="18"/>
                <w:szCs w:val="18"/>
              </w:rPr>
              <w:t>7</w:t>
            </w:r>
          </w:p>
        </w:tc>
        <w:tc>
          <w:tcPr>
            <w:tcW w:w="933" w:type="dxa"/>
            <w:gridSpan w:val="2"/>
            <w:noWrap/>
            <w:hideMark/>
          </w:tcPr>
          <w:p w:rsidR="00FF6A4D" w:rsidRPr="00FF6A4D" w:rsidRDefault="00FF6A4D">
            <w:pPr>
              <w:rPr>
                <w:rFonts w:asciiTheme="minorEastAsia" w:hAnsiTheme="minorEastAsia"/>
                <w:sz w:val="18"/>
                <w:szCs w:val="18"/>
              </w:rPr>
            </w:pPr>
            <w:r w:rsidRPr="00FF6A4D">
              <w:rPr>
                <w:rFonts w:asciiTheme="minorEastAsia" w:hAnsiTheme="minorEastAsia" w:hint="eastAsia"/>
                <w:sz w:val="18"/>
                <w:szCs w:val="18"/>
              </w:rPr>
              <w:t xml:space="preserve">　</w:t>
            </w:r>
          </w:p>
        </w:tc>
      </w:tr>
    </w:tbl>
    <w:p w:rsidR="005E4FE4" w:rsidRDefault="005E4FE4"/>
    <w:sectPr w:rsidR="005E4FE4" w:rsidSect="005E4FE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F6A4D"/>
    <w:rsid w:val="005E4FE4"/>
    <w:rsid w:val="00FF6A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FE4"/>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6A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2375414">
      <w:bodyDiv w:val="1"/>
      <w:marLeft w:val="0"/>
      <w:marRight w:val="0"/>
      <w:marTop w:val="0"/>
      <w:marBottom w:val="0"/>
      <w:divBdr>
        <w:top w:val="none" w:sz="0" w:space="0" w:color="auto"/>
        <w:left w:val="none" w:sz="0" w:space="0" w:color="auto"/>
        <w:bottom w:val="none" w:sz="0" w:space="0" w:color="auto"/>
        <w:right w:val="none" w:sz="0" w:space="0" w:color="auto"/>
      </w:divBdr>
    </w:div>
    <w:div w:id="202408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283</Words>
  <Characters>1619</Characters>
  <Application>Microsoft Office Word</Application>
  <DocSecurity>0</DocSecurity>
  <Lines>13</Lines>
  <Paragraphs>3</Paragraphs>
  <ScaleCrop>false</ScaleCrop>
  <Company>Hewlett-Packard Company</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2022-05-18T01:57:00Z</dcterms:created>
  <dcterms:modified xsi:type="dcterms:W3CDTF">2022-05-18T02:05:00Z</dcterms:modified>
</cp:coreProperties>
</file>