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2C9" w:rsidRPr="00BE2AFA" w:rsidRDefault="005172C9" w:rsidP="00BE2AFA">
      <w:pPr>
        <w:spacing w:line="560" w:lineRule="exact"/>
        <w:rPr>
          <w:rFonts w:ascii="黑体" w:eastAsia="黑体" w:hAnsi="黑体"/>
          <w:sz w:val="32"/>
          <w:szCs w:val="32"/>
        </w:rPr>
      </w:pP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412"/>
        <w:gridCol w:w="145"/>
        <w:gridCol w:w="416"/>
        <w:gridCol w:w="289"/>
        <w:gridCol w:w="547"/>
        <w:gridCol w:w="699"/>
      </w:tblGrid>
      <w:tr w:rsidR="005172C9" w:rsidTr="00284BD3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72C9" w:rsidRDefault="005172C9" w:rsidP="00284BD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172C9" w:rsidTr="00284BD3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72C9" w:rsidRDefault="005172C9" w:rsidP="00284BD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0454B7">
              <w:rPr>
                <w:rFonts w:ascii="宋体" w:hAnsi="宋体" w:cs="宋体" w:hint="eastAsia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5172C9" w:rsidRPr="0013462A" w:rsidTr="00284BD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0454B7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提前下达2021年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重大传染病防控经费</w:t>
            </w:r>
          </w:p>
        </w:tc>
      </w:tr>
      <w:tr w:rsidR="005172C9" w:rsidRPr="0013462A" w:rsidTr="00BE2AF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0454B7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北京市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医院管理中心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0454B7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北京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肿瘤医院</w:t>
            </w:r>
          </w:p>
        </w:tc>
      </w:tr>
      <w:tr w:rsidR="005172C9" w:rsidRPr="0013462A" w:rsidTr="00BE2AFA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0454B7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王宁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0454B7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88196725</w:t>
            </w:r>
          </w:p>
        </w:tc>
      </w:tr>
      <w:tr w:rsidR="005172C9" w:rsidRPr="0013462A" w:rsidTr="00BE2AFA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项目资金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172C9" w:rsidRPr="0013462A" w:rsidTr="00BE2AF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BE2AFA" w:rsidP="0013462A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148</w:t>
            </w:r>
            <w:r w:rsidR="0013462A"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13462A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148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.00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BE2AFA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105</w:t>
            </w:r>
            <w:r w:rsidR="0013462A"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.5268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5172C9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BE2AFA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71.30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13462A" w:rsidRDefault="00BE2AFA" w:rsidP="00284BD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7.13</w:t>
            </w:r>
          </w:p>
        </w:tc>
      </w:tr>
      <w:tr w:rsidR="00B51A22" w:rsidRPr="0013462A" w:rsidTr="00BE2AF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13462A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148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.00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13462A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148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.00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105</w:t>
            </w:r>
            <w:r w:rsidR="0013462A"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.5268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71.30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7.13</w:t>
            </w:r>
          </w:p>
        </w:tc>
      </w:tr>
      <w:tr w:rsidR="00B51A22" w:rsidRPr="0013462A" w:rsidTr="00BE2AF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1A22" w:rsidRPr="0013462A" w:rsidTr="00BE2AFA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51A22" w:rsidRPr="0013462A" w:rsidTr="00284BD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51A22" w:rsidRPr="0013462A" w:rsidTr="00D83595">
        <w:trPr>
          <w:trHeight w:hRule="exact" w:val="203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收集14万肿瘤就诊病例资料；2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数据整理后病理组织学诊断的比例（除外肝癌和白血病）达到66%；3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死亡/发病的比例符合国家标准&gt;0.50；4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未指明部位及原发部位不明（继发）的恶性肿瘤病例所占的比例&lt;5%；5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完成至少3万例肿瘤患者的社区随访；6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整理后本市肿瘤患者社区随访失访率&lt;10%。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收集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19.04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万肿瘤就诊病例资料；2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数据整理后病理组织学诊断的比例（除外肝癌和白血病）8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3.25%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；3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死亡/发病的比例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为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0.51；4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未指明部位及原发部位不明（继发）的恶性肿瘤病例所占的比例为2.07%；5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完成4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.21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万例肿瘤患者的社区随访；6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)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整理后本市肿瘤患者社区随访失访率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4.72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%。</w:t>
            </w:r>
          </w:p>
        </w:tc>
      </w:tr>
      <w:tr w:rsidR="00B51A22" w:rsidRPr="0013462A" w:rsidTr="00E443F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绩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效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指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年度</w:t>
            </w:r>
          </w:p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实际</w:t>
            </w:r>
          </w:p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51A22" w:rsidRPr="0013462A" w:rsidTr="00E443F2">
        <w:trPr>
          <w:trHeight w:hRule="exact" w:val="6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收集14万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肿瘤就诊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病例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资料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140000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190376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E443F2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成功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随访患者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3万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30000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42122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E443F2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预计补充死亡病例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15000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27644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E443F2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肿瘤随访登记项目覆盖的县区数量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E443F2">
        <w:trPr>
          <w:trHeight w:hRule="exact" w:val="5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随访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患者失访率低于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4.72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E443F2">
        <w:trPr>
          <w:trHeight w:hRule="exact" w:val="5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全市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病理诊断率不低于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66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66%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83.25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E443F2">
        <w:trPr>
          <w:trHeight w:hRule="exact" w:val="5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死亡/发病的比例&gt;0.50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0.50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0.51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E443F2">
        <w:trPr>
          <w:trHeight w:hRule="exact" w:val="5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肿瘤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患者社区随访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2021年10月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底前完成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10</w:t>
            </w: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月31日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之前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9月15日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E443F2">
        <w:trPr>
          <w:trHeight w:hRule="exact" w:val="5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按照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国家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癌症中心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要求提交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年报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数据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6月30日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之前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6月7日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DC5AA3">
        <w:trPr>
          <w:trHeight w:hRule="exact" w:val="226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项目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预算控制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1480000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1055268.55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.13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DC5AA3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DC5AA3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疫情原因造成学术会议等减少，今后将以其他形式开展和组织北京市肿瘤登记随访工作的实施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。</w:t>
            </w:r>
            <w:bookmarkStart w:id="0" w:name="_GoBack"/>
            <w:bookmarkEnd w:id="0"/>
          </w:p>
        </w:tc>
      </w:tr>
      <w:tr w:rsidR="00B51A22" w:rsidRPr="0013462A" w:rsidTr="00713613">
        <w:trPr>
          <w:trHeight w:hRule="exact" w:val="10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713613" w:rsidP="00B51A22">
            <w:pPr>
              <w:spacing w:line="2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效益</w:t>
            </w: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社会效益</w:t>
            </w:r>
          </w:p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获得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现患癌症患者的生存状况信息，计算北京市肿瘤患者的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5年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生存率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43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48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.77%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E443F2">
        <w:trPr>
          <w:trHeight w:hRule="exact" w:val="1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对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规范疾病预防控制处置规范化生产的可持续影响，间接评估早诊早治效果，早诊率达到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55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55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67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E443F2">
        <w:trPr>
          <w:trHeight w:hRule="exact" w:val="123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满意度</w:t>
            </w:r>
          </w:p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接受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肿瘤登记培训的医疗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机构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工作人员对于技术培训的满意度（</w:t>
            </w: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是否</w:t>
            </w:r>
            <w:r w:rsidRPr="0013462A"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  <w:t>可以满足其工作需要）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95.50</w:t>
            </w:r>
            <w:r w:rsidRPr="0013462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  <w:tr w:rsidR="00B51A22" w:rsidRPr="0013462A" w:rsidTr="00E443F2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13462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94.26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1A22" w:rsidRPr="0013462A" w:rsidRDefault="00B51A22" w:rsidP="00B51A2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</w:p>
        </w:tc>
      </w:tr>
    </w:tbl>
    <w:p w:rsidR="00D00710" w:rsidRPr="0013462A" w:rsidRDefault="00DC5AA3">
      <w:pPr>
        <w:rPr>
          <w:rFonts w:asciiTheme="minorEastAsia" w:eastAsiaTheme="minorEastAsia" w:hAnsiTheme="minorEastAsia"/>
          <w:sz w:val="18"/>
          <w:szCs w:val="18"/>
        </w:rPr>
      </w:pPr>
    </w:p>
    <w:sectPr w:rsidR="00D00710" w:rsidRPr="0013462A" w:rsidSect="00FE4623">
      <w:pgSz w:w="11906" w:h="16838"/>
      <w:pgMar w:top="851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BB2" w:rsidRDefault="009F0BB2" w:rsidP="005172C9">
      <w:r>
        <w:separator/>
      </w:r>
    </w:p>
  </w:endnote>
  <w:endnote w:type="continuationSeparator" w:id="0">
    <w:p w:rsidR="009F0BB2" w:rsidRDefault="009F0BB2" w:rsidP="0051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BB2" w:rsidRDefault="009F0BB2" w:rsidP="005172C9">
      <w:r>
        <w:separator/>
      </w:r>
    </w:p>
  </w:footnote>
  <w:footnote w:type="continuationSeparator" w:id="0">
    <w:p w:rsidR="009F0BB2" w:rsidRDefault="009F0BB2" w:rsidP="005172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5B"/>
    <w:rsid w:val="000454B7"/>
    <w:rsid w:val="000D579A"/>
    <w:rsid w:val="0013462A"/>
    <w:rsid w:val="002C3B0E"/>
    <w:rsid w:val="005172C9"/>
    <w:rsid w:val="0052080E"/>
    <w:rsid w:val="00614BD1"/>
    <w:rsid w:val="00713613"/>
    <w:rsid w:val="007E6D80"/>
    <w:rsid w:val="008C2D2F"/>
    <w:rsid w:val="00983ED3"/>
    <w:rsid w:val="009A5F14"/>
    <w:rsid w:val="009C475B"/>
    <w:rsid w:val="009F0BB2"/>
    <w:rsid w:val="009F10B6"/>
    <w:rsid w:val="00AB27EB"/>
    <w:rsid w:val="00B51A22"/>
    <w:rsid w:val="00BC470C"/>
    <w:rsid w:val="00BD5F6C"/>
    <w:rsid w:val="00BE2AFA"/>
    <w:rsid w:val="00D83595"/>
    <w:rsid w:val="00DC5AA3"/>
    <w:rsid w:val="00E443F2"/>
    <w:rsid w:val="00F7667C"/>
    <w:rsid w:val="00FE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5C60668-93F1-4342-8AE9-165408A1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7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72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72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72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dell</cp:lastModifiedBy>
  <cp:revision>12</cp:revision>
  <dcterms:created xsi:type="dcterms:W3CDTF">2022-04-07T13:44:00Z</dcterms:created>
  <dcterms:modified xsi:type="dcterms:W3CDTF">2022-05-07T01:29:00Z</dcterms:modified>
</cp:coreProperties>
</file>