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582" w:type="dxa"/>
        <w:tblLook w:val="04A0" w:firstRow="1" w:lastRow="0" w:firstColumn="1" w:lastColumn="0" w:noHBand="0" w:noVBand="1"/>
      </w:tblPr>
      <w:tblGrid>
        <w:gridCol w:w="921"/>
        <w:gridCol w:w="812"/>
        <w:gridCol w:w="922"/>
        <w:gridCol w:w="776"/>
        <w:gridCol w:w="1025"/>
        <w:gridCol w:w="535"/>
        <w:gridCol w:w="1530"/>
        <w:gridCol w:w="1498"/>
        <w:gridCol w:w="766"/>
        <w:gridCol w:w="287"/>
        <w:gridCol w:w="1843"/>
        <w:gridCol w:w="1576"/>
        <w:gridCol w:w="1257"/>
        <w:gridCol w:w="484"/>
        <w:gridCol w:w="350"/>
      </w:tblGrid>
      <w:tr w:rsidR="00E878EE" w:rsidRPr="00C55ACD" w:rsidTr="00E878EE">
        <w:trPr>
          <w:trHeight w:val="632"/>
        </w:trPr>
        <w:tc>
          <w:tcPr>
            <w:tcW w:w="3431" w:type="dxa"/>
            <w:gridSpan w:val="4"/>
            <w:tcBorders>
              <w:top w:val="nil"/>
              <w:left w:val="nil"/>
              <w:bottom w:val="nil"/>
              <w:right w:val="nil"/>
            </w:tcBorders>
          </w:tcPr>
          <w:p w:rsidR="00E878EE" w:rsidRPr="00C55ACD" w:rsidRDefault="00E878EE" w:rsidP="00C55ACD">
            <w:pPr>
              <w:widowControl/>
              <w:jc w:val="center"/>
              <w:rPr>
                <w:rFonts w:ascii="宋体" w:eastAsia="宋体" w:hAnsi="宋体" w:cs="宋体" w:hint="eastAsia"/>
                <w:b/>
                <w:bCs/>
                <w:color w:val="000000"/>
                <w:kern w:val="0"/>
                <w:sz w:val="36"/>
                <w:szCs w:val="36"/>
              </w:rPr>
            </w:pPr>
          </w:p>
        </w:tc>
        <w:tc>
          <w:tcPr>
            <w:tcW w:w="10317" w:type="dxa"/>
            <w:gridSpan w:val="9"/>
            <w:tcBorders>
              <w:top w:val="nil"/>
              <w:left w:val="nil"/>
              <w:bottom w:val="nil"/>
              <w:right w:val="nil"/>
            </w:tcBorders>
            <w:shd w:val="clear" w:color="auto" w:fill="auto"/>
            <w:vAlign w:val="center"/>
            <w:hideMark/>
          </w:tcPr>
          <w:p w:rsidR="00E878EE" w:rsidRPr="00C55ACD" w:rsidRDefault="00E878EE" w:rsidP="00C55ACD">
            <w:pPr>
              <w:widowControl/>
              <w:jc w:val="center"/>
              <w:rPr>
                <w:rFonts w:ascii="宋体" w:eastAsia="宋体" w:hAnsi="宋体" w:cs="宋体"/>
                <w:b/>
                <w:bCs/>
                <w:color w:val="000000"/>
                <w:kern w:val="0"/>
                <w:sz w:val="36"/>
                <w:szCs w:val="36"/>
              </w:rPr>
            </w:pPr>
            <w:r w:rsidRPr="00C55ACD">
              <w:rPr>
                <w:rFonts w:ascii="宋体" w:eastAsia="宋体" w:hAnsi="宋体" w:cs="宋体" w:hint="eastAsia"/>
                <w:b/>
                <w:bCs/>
                <w:color w:val="000000"/>
                <w:kern w:val="0"/>
                <w:sz w:val="36"/>
                <w:szCs w:val="36"/>
              </w:rPr>
              <w:t>项目支出绩效自评表</w:t>
            </w:r>
          </w:p>
        </w:tc>
        <w:tc>
          <w:tcPr>
            <w:tcW w:w="834" w:type="dxa"/>
            <w:gridSpan w:val="2"/>
            <w:tcBorders>
              <w:top w:val="nil"/>
              <w:left w:val="nil"/>
              <w:bottom w:val="nil"/>
              <w:right w:val="nil"/>
            </w:tcBorders>
            <w:shd w:val="clear" w:color="auto" w:fill="auto"/>
            <w:vAlign w:val="center"/>
            <w:hideMark/>
          </w:tcPr>
          <w:p w:rsidR="00E878EE" w:rsidRPr="00C55ACD" w:rsidRDefault="00E878EE" w:rsidP="00C55ACD">
            <w:pPr>
              <w:widowControl/>
              <w:jc w:val="center"/>
              <w:rPr>
                <w:rFonts w:ascii="宋体" w:eastAsia="宋体" w:hAnsi="宋体" w:cs="宋体"/>
                <w:b/>
                <w:bCs/>
                <w:color w:val="000000"/>
                <w:kern w:val="0"/>
                <w:sz w:val="36"/>
                <w:szCs w:val="36"/>
              </w:rPr>
            </w:pPr>
          </w:p>
        </w:tc>
      </w:tr>
      <w:tr w:rsidR="00E878EE" w:rsidRPr="00C55ACD" w:rsidTr="00E878EE">
        <w:trPr>
          <w:trHeight w:val="497"/>
        </w:trPr>
        <w:tc>
          <w:tcPr>
            <w:tcW w:w="3431" w:type="dxa"/>
            <w:gridSpan w:val="4"/>
            <w:tcBorders>
              <w:top w:val="nil"/>
              <w:left w:val="nil"/>
              <w:bottom w:val="single" w:sz="4" w:space="0" w:color="auto"/>
              <w:right w:val="nil"/>
            </w:tcBorders>
          </w:tcPr>
          <w:p w:rsidR="00E878EE" w:rsidRPr="00C55ACD" w:rsidRDefault="00E878EE" w:rsidP="00C55ACD">
            <w:pPr>
              <w:widowControl/>
              <w:jc w:val="center"/>
              <w:rPr>
                <w:rFonts w:ascii="宋体" w:eastAsia="宋体" w:hAnsi="宋体" w:cs="宋体" w:hint="eastAsia"/>
                <w:color w:val="000000"/>
                <w:kern w:val="0"/>
                <w:sz w:val="24"/>
                <w:szCs w:val="24"/>
              </w:rPr>
            </w:pPr>
          </w:p>
        </w:tc>
        <w:tc>
          <w:tcPr>
            <w:tcW w:w="10317" w:type="dxa"/>
            <w:gridSpan w:val="9"/>
            <w:tcBorders>
              <w:top w:val="nil"/>
              <w:left w:val="nil"/>
              <w:bottom w:val="single" w:sz="4" w:space="0" w:color="auto"/>
              <w:right w:val="nil"/>
            </w:tcBorders>
            <w:shd w:val="clear" w:color="auto" w:fill="auto"/>
            <w:vAlign w:val="center"/>
            <w:hideMark/>
          </w:tcPr>
          <w:p w:rsidR="00E878EE" w:rsidRPr="00C55ACD" w:rsidRDefault="00E878EE" w:rsidP="00C55ACD">
            <w:pPr>
              <w:widowControl/>
              <w:jc w:val="center"/>
              <w:rPr>
                <w:rFonts w:ascii="宋体" w:eastAsia="宋体" w:hAnsi="宋体" w:cs="宋体"/>
                <w:color w:val="000000"/>
                <w:kern w:val="0"/>
                <w:sz w:val="24"/>
                <w:szCs w:val="24"/>
              </w:rPr>
            </w:pPr>
            <w:r w:rsidRPr="00C55ACD">
              <w:rPr>
                <w:rFonts w:ascii="宋体" w:eastAsia="宋体" w:hAnsi="宋体" w:cs="宋体" w:hint="eastAsia"/>
                <w:color w:val="000000"/>
                <w:kern w:val="0"/>
                <w:sz w:val="24"/>
                <w:szCs w:val="24"/>
              </w:rPr>
              <w:t>（2021年度）</w:t>
            </w:r>
          </w:p>
        </w:tc>
        <w:tc>
          <w:tcPr>
            <w:tcW w:w="834" w:type="dxa"/>
            <w:gridSpan w:val="2"/>
            <w:tcBorders>
              <w:top w:val="nil"/>
              <w:left w:val="nil"/>
              <w:bottom w:val="nil"/>
              <w:right w:val="nil"/>
            </w:tcBorders>
            <w:shd w:val="clear" w:color="auto" w:fill="auto"/>
            <w:vAlign w:val="center"/>
            <w:hideMark/>
          </w:tcPr>
          <w:p w:rsidR="00E878EE" w:rsidRPr="00C55ACD" w:rsidRDefault="00E878EE" w:rsidP="00C55ACD">
            <w:pPr>
              <w:widowControl/>
              <w:jc w:val="center"/>
              <w:rPr>
                <w:rFonts w:ascii="宋体" w:eastAsia="宋体" w:hAnsi="宋体" w:cs="宋体"/>
                <w:color w:val="000000"/>
                <w:kern w:val="0"/>
                <w:sz w:val="24"/>
                <w:szCs w:val="24"/>
              </w:rPr>
            </w:pPr>
          </w:p>
        </w:tc>
      </w:tr>
      <w:tr w:rsidR="00E878EE" w:rsidRPr="00C55ACD" w:rsidTr="00E878EE">
        <w:trPr>
          <w:trHeight w:val="602"/>
        </w:trPr>
        <w:tc>
          <w:tcPr>
            <w:tcW w:w="26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bookmarkStart w:id="0" w:name="_GoBack" w:colFirst="1" w:colLast="1"/>
            <w:r w:rsidRPr="00902944">
              <w:rPr>
                <w:rFonts w:ascii="宋体" w:eastAsia="宋体" w:hAnsi="宋体" w:cs="宋体" w:hint="eastAsia"/>
                <w:kern w:val="0"/>
                <w:sz w:val="22"/>
              </w:rPr>
              <w:t>项目名称</w:t>
            </w:r>
          </w:p>
        </w:tc>
        <w:tc>
          <w:tcPr>
            <w:tcW w:w="11093" w:type="dxa"/>
            <w:gridSpan w:val="10"/>
            <w:tcBorders>
              <w:top w:val="single" w:sz="4" w:space="0" w:color="auto"/>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市属医院学科发展</w:t>
            </w:r>
          </w:p>
        </w:tc>
        <w:tc>
          <w:tcPr>
            <w:tcW w:w="8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备注</w:t>
            </w:r>
          </w:p>
        </w:tc>
      </w:tr>
      <w:bookmarkEnd w:id="0"/>
      <w:tr w:rsidR="00E878EE" w:rsidRPr="00C55ACD" w:rsidTr="00E878EE">
        <w:trPr>
          <w:trHeight w:val="602"/>
        </w:trPr>
        <w:tc>
          <w:tcPr>
            <w:tcW w:w="26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Pr>
                <w:rFonts w:ascii="宋体" w:eastAsia="宋体" w:hAnsi="宋体" w:cs="宋体" w:hint="eastAsia"/>
                <w:kern w:val="0"/>
                <w:sz w:val="22"/>
              </w:rPr>
              <w:t>主管部门</w:t>
            </w:r>
          </w:p>
        </w:tc>
        <w:tc>
          <w:tcPr>
            <w:tcW w:w="5364" w:type="dxa"/>
            <w:gridSpan w:val="5"/>
            <w:tcBorders>
              <w:top w:val="single" w:sz="4" w:space="0" w:color="auto"/>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hint="eastAsia"/>
                <w:kern w:val="0"/>
                <w:sz w:val="22"/>
              </w:rPr>
            </w:pPr>
            <w:r w:rsidRPr="00902944">
              <w:rPr>
                <w:rFonts w:ascii="宋体" w:eastAsia="宋体" w:hAnsi="宋体" w:cs="宋体" w:hint="eastAsia"/>
                <w:kern w:val="0"/>
                <w:sz w:val="22"/>
              </w:rPr>
              <w:t>北京市医院管理中心</w:t>
            </w:r>
          </w:p>
        </w:tc>
        <w:tc>
          <w:tcPr>
            <w:tcW w:w="766" w:type="dxa"/>
            <w:tcBorders>
              <w:top w:val="nil"/>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实施单位</w:t>
            </w:r>
          </w:p>
        </w:tc>
        <w:tc>
          <w:tcPr>
            <w:tcW w:w="4963" w:type="dxa"/>
            <w:gridSpan w:val="4"/>
            <w:tcBorders>
              <w:top w:val="single" w:sz="4" w:space="0" w:color="auto"/>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北京小汤山医院</w:t>
            </w:r>
          </w:p>
        </w:tc>
        <w:tc>
          <w:tcPr>
            <w:tcW w:w="834" w:type="dxa"/>
            <w:gridSpan w:val="2"/>
            <w:vMerge/>
            <w:tcBorders>
              <w:top w:val="single" w:sz="4" w:space="0" w:color="auto"/>
              <w:left w:val="single" w:sz="4" w:space="0" w:color="auto"/>
              <w:bottom w:val="single" w:sz="4" w:space="0" w:color="auto"/>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r>
      <w:tr w:rsidR="00E878EE" w:rsidRPr="00C55ACD" w:rsidTr="00E878EE">
        <w:trPr>
          <w:trHeight w:val="602"/>
        </w:trPr>
        <w:tc>
          <w:tcPr>
            <w:tcW w:w="26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78EE" w:rsidRDefault="00E878EE" w:rsidP="00C55ACD">
            <w:pPr>
              <w:widowControl/>
              <w:jc w:val="center"/>
              <w:rPr>
                <w:rFonts w:ascii="宋体" w:eastAsia="宋体" w:hAnsi="宋体" w:cs="宋体" w:hint="eastAsia"/>
                <w:kern w:val="0"/>
                <w:sz w:val="22"/>
              </w:rPr>
            </w:pPr>
            <w:r>
              <w:rPr>
                <w:rFonts w:ascii="宋体" w:eastAsia="宋体" w:hAnsi="宋体" w:cs="宋体" w:hint="eastAsia"/>
                <w:kern w:val="0"/>
                <w:sz w:val="22"/>
              </w:rPr>
              <w:t>项目</w:t>
            </w:r>
            <w:r>
              <w:rPr>
                <w:rFonts w:ascii="宋体" w:eastAsia="宋体" w:hAnsi="宋体" w:cs="宋体"/>
                <w:kern w:val="0"/>
                <w:sz w:val="22"/>
              </w:rPr>
              <w:t>负责人</w:t>
            </w:r>
          </w:p>
        </w:tc>
        <w:tc>
          <w:tcPr>
            <w:tcW w:w="5364" w:type="dxa"/>
            <w:gridSpan w:val="5"/>
            <w:tcBorders>
              <w:top w:val="single" w:sz="4" w:space="0" w:color="auto"/>
              <w:left w:val="nil"/>
              <w:bottom w:val="single" w:sz="4" w:space="0" w:color="auto"/>
              <w:right w:val="single" w:sz="4" w:space="0" w:color="auto"/>
            </w:tcBorders>
            <w:shd w:val="clear" w:color="auto" w:fill="auto"/>
            <w:vAlign w:val="center"/>
          </w:tcPr>
          <w:p w:rsidR="00E878EE" w:rsidRDefault="00E878EE" w:rsidP="00C55ACD">
            <w:pPr>
              <w:widowControl/>
              <w:jc w:val="center"/>
              <w:rPr>
                <w:rFonts w:ascii="宋体" w:eastAsia="宋体" w:hAnsi="宋体" w:cs="宋体" w:hint="eastAsia"/>
                <w:kern w:val="0"/>
                <w:sz w:val="22"/>
              </w:rPr>
            </w:pPr>
            <w:r>
              <w:rPr>
                <w:rFonts w:ascii="宋体" w:eastAsia="宋体" w:hAnsi="宋体" w:cs="宋体" w:hint="eastAsia"/>
                <w:kern w:val="0"/>
                <w:sz w:val="22"/>
              </w:rPr>
              <w:t>吕</w:t>
            </w:r>
            <w:r>
              <w:rPr>
                <w:rFonts w:ascii="宋体" w:eastAsia="宋体" w:hAnsi="宋体" w:cs="宋体"/>
                <w:kern w:val="0"/>
                <w:sz w:val="22"/>
              </w:rPr>
              <w:t>春梅、冯琳琳</w:t>
            </w:r>
          </w:p>
        </w:tc>
        <w:tc>
          <w:tcPr>
            <w:tcW w:w="766" w:type="dxa"/>
            <w:tcBorders>
              <w:top w:val="nil"/>
              <w:left w:val="single" w:sz="4" w:space="0" w:color="auto"/>
              <w:bottom w:val="single" w:sz="4" w:space="0" w:color="auto"/>
              <w:right w:val="single" w:sz="4" w:space="0" w:color="auto"/>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r>
              <w:rPr>
                <w:rFonts w:ascii="宋体" w:eastAsia="宋体" w:hAnsi="宋体" w:cs="宋体" w:hint="eastAsia"/>
                <w:kern w:val="0"/>
                <w:sz w:val="22"/>
              </w:rPr>
              <w:t>联系</w:t>
            </w:r>
            <w:r>
              <w:rPr>
                <w:rFonts w:ascii="宋体" w:eastAsia="宋体" w:hAnsi="宋体" w:cs="宋体"/>
                <w:kern w:val="0"/>
                <w:sz w:val="22"/>
              </w:rPr>
              <w:t>电话</w:t>
            </w:r>
          </w:p>
        </w:tc>
        <w:tc>
          <w:tcPr>
            <w:tcW w:w="4963" w:type="dxa"/>
            <w:gridSpan w:val="4"/>
            <w:tcBorders>
              <w:top w:val="single" w:sz="4" w:space="0" w:color="auto"/>
              <w:left w:val="nil"/>
              <w:bottom w:val="single" w:sz="4" w:space="0" w:color="auto"/>
              <w:right w:val="single" w:sz="4" w:space="0" w:color="auto"/>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r>
              <w:rPr>
                <w:rFonts w:ascii="宋体" w:eastAsia="宋体" w:hAnsi="宋体" w:cs="宋体" w:hint="eastAsia"/>
                <w:kern w:val="0"/>
                <w:sz w:val="22"/>
              </w:rPr>
              <w:t>13681524337</w:t>
            </w:r>
          </w:p>
        </w:tc>
        <w:tc>
          <w:tcPr>
            <w:tcW w:w="834" w:type="dxa"/>
            <w:gridSpan w:val="2"/>
            <w:tcBorders>
              <w:top w:val="single" w:sz="4" w:space="0" w:color="auto"/>
              <w:left w:val="single" w:sz="4" w:space="0" w:color="auto"/>
              <w:bottom w:val="single" w:sz="4" w:space="0" w:color="auto"/>
              <w:right w:val="single" w:sz="4" w:space="0" w:color="auto"/>
            </w:tcBorders>
            <w:vAlign w:val="center"/>
          </w:tcPr>
          <w:p w:rsidR="00E878EE" w:rsidRPr="00902944" w:rsidRDefault="00E878EE" w:rsidP="00C55ACD">
            <w:pPr>
              <w:widowControl/>
              <w:jc w:val="left"/>
              <w:rPr>
                <w:rFonts w:ascii="宋体" w:eastAsia="宋体" w:hAnsi="宋体" w:cs="宋体"/>
                <w:kern w:val="0"/>
                <w:sz w:val="22"/>
              </w:rPr>
            </w:pPr>
          </w:p>
        </w:tc>
      </w:tr>
      <w:tr w:rsidR="00E878EE" w:rsidRPr="00C55ACD" w:rsidTr="00E878EE">
        <w:trPr>
          <w:trHeight w:val="602"/>
        </w:trPr>
        <w:tc>
          <w:tcPr>
            <w:tcW w:w="265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项目资金</w:t>
            </w:r>
            <w:r w:rsidRPr="00902944">
              <w:rPr>
                <w:rFonts w:ascii="宋体" w:eastAsia="宋体" w:hAnsi="宋体" w:cs="宋体" w:hint="eastAsia"/>
                <w:kern w:val="0"/>
                <w:sz w:val="22"/>
              </w:rPr>
              <w:br/>
              <w:t>（万元）</w:t>
            </w:r>
          </w:p>
        </w:tc>
        <w:tc>
          <w:tcPr>
            <w:tcW w:w="1801"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2065" w:type="dxa"/>
            <w:gridSpan w:val="2"/>
            <w:tcBorders>
              <w:top w:val="single" w:sz="4" w:space="0" w:color="auto"/>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Pr>
                <w:rFonts w:ascii="宋体" w:eastAsia="宋体" w:hAnsi="宋体" w:cs="宋体" w:hint="eastAsia"/>
                <w:kern w:val="0"/>
                <w:sz w:val="22"/>
              </w:rPr>
              <w:t>年初预算数</w:t>
            </w:r>
          </w:p>
        </w:tc>
        <w:tc>
          <w:tcPr>
            <w:tcW w:w="1498" w:type="dxa"/>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hint="eastAsia"/>
                <w:kern w:val="0"/>
                <w:sz w:val="22"/>
              </w:rPr>
            </w:pPr>
            <w:r>
              <w:rPr>
                <w:rFonts w:ascii="宋体" w:eastAsia="宋体" w:hAnsi="宋体" w:cs="宋体" w:hint="eastAsia"/>
                <w:kern w:val="0"/>
                <w:sz w:val="22"/>
              </w:rPr>
              <w:t>全年</w:t>
            </w:r>
            <w:r>
              <w:rPr>
                <w:rFonts w:ascii="宋体" w:eastAsia="宋体" w:hAnsi="宋体" w:cs="宋体"/>
                <w:kern w:val="0"/>
                <w:sz w:val="22"/>
              </w:rPr>
              <w:t>预算数</w:t>
            </w:r>
          </w:p>
        </w:tc>
        <w:tc>
          <w:tcPr>
            <w:tcW w:w="766" w:type="dxa"/>
            <w:tcBorders>
              <w:top w:val="nil"/>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Pr>
                <w:rFonts w:ascii="宋体" w:eastAsia="宋体" w:hAnsi="宋体" w:cs="宋体" w:hint="eastAsia"/>
                <w:kern w:val="0"/>
                <w:sz w:val="22"/>
              </w:rPr>
              <w:t>全年执行数</w:t>
            </w:r>
          </w:p>
        </w:tc>
        <w:tc>
          <w:tcPr>
            <w:tcW w:w="2130"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分值(10分）</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Pr>
                <w:rFonts w:ascii="宋体" w:eastAsia="宋体" w:hAnsi="宋体" w:cs="宋体" w:hint="eastAsia"/>
                <w:kern w:val="0"/>
                <w:sz w:val="22"/>
              </w:rPr>
              <w:t>执行率</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得分</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2655" w:type="dxa"/>
            <w:gridSpan w:val="3"/>
            <w:vMerge/>
            <w:tcBorders>
              <w:top w:val="single" w:sz="4" w:space="0" w:color="auto"/>
              <w:left w:val="single" w:sz="4" w:space="0" w:color="auto"/>
              <w:bottom w:val="single" w:sz="4" w:space="0" w:color="auto"/>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1801"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年度资金总额：</w:t>
            </w:r>
          </w:p>
        </w:tc>
        <w:tc>
          <w:tcPr>
            <w:tcW w:w="2065" w:type="dxa"/>
            <w:gridSpan w:val="2"/>
            <w:tcBorders>
              <w:top w:val="single" w:sz="4" w:space="0" w:color="auto"/>
              <w:left w:val="nil"/>
              <w:bottom w:val="single" w:sz="4" w:space="0" w:color="auto"/>
              <w:right w:val="nil"/>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20.58</w:t>
            </w:r>
          </w:p>
        </w:tc>
        <w:tc>
          <w:tcPr>
            <w:tcW w:w="1498" w:type="dxa"/>
            <w:tcBorders>
              <w:top w:val="nil"/>
              <w:left w:val="single" w:sz="4" w:space="0" w:color="auto"/>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hint="eastAsia"/>
                <w:kern w:val="0"/>
                <w:sz w:val="22"/>
              </w:rPr>
            </w:pPr>
            <w:r w:rsidRPr="00902944">
              <w:rPr>
                <w:rFonts w:ascii="宋体" w:eastAsia="宋体" w:hAnsi="宋体" w:cs="宋体" w:hint="eastAsia"/>
                <w:kern w:val="0"/>
                <w:sz w:val="22"/>
              </w:rPr>
              <w:t>20.58</w:t>
            </w:r>
          </w:p>
        </w:tc>
        <w:tc>
          <w:tcPr>
            <w:tcW w:w="766" w:type="dxa"/>
            <w:tcBorders>
              <w:top w:val="nil"/>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20.58</w:t>
            </w:r>
          </w:p>
        </w:tc>
        <w:tc>
          <w:tcPr>
            <w:tcW w:w="2130"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10</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right"/>
              <w:rPr>
                <w:rFonts w:ascii="宋体" w:eastAsia="宋体" w:hAnsi="宋体" w:cs="宋体"/>
                <w:kern w:val="0"/>
                <w:sz w:val="22"/>
              </w:rPr>
            </w:pPr>
            <w:r w:rsidRPr="00902944">
              <w:rPr>
                <w:rFonts w:ascii="宋体" w:eastAsia="宋体" w:hAnsi="宋体" w:cs="宋体" w:hint="eastAsia"/>
                <w:kern w:val="0"/>
                <w:sz w:val="22"/>
              </w:rPr>
              <w:t>100%</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10</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2655" w:type="dxa"/>
            <w:gridSpan w:val="3"/>
            <w:vMerge/>
            <w:tcBorders>
              <w:top w:val="single" w:sz="4" w:space="0" w:color="auto"/>
              <w:left w:val="single" w:sz="4" w:space="0" w:color="auto"/>
              <w:bottom w:val="single" w:sz="4" w:space="0" w:color="auto"/>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1801"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其中：财政拨款</w:t>
            </w:r>
          </w:p>
        </w:tc>
        <w:tc>
          <w:tcPr>
            <w:tcW w:w="2065" w:type="dxa"/>
            <w:gridSpan w:val="2"/>
            <w:tcBorders>
              <w:top w:val="single" w:sz="4" w:space="0" w:color="auto"/>
              <w:left w:val="nil"/>
              <w:bottom w:val="single" w:sz="4" w:space="0" w:color="auto"/>
              <w:right w:val="nil"/>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20.58</w:t>
            </w:r>
          </w:p>
        </w:tc>
        <w:tc>
          <w:tcPr>
            <w:tcW w:w="1498" w:type="dxa"/>
            <w:tcBorders>
              <w:top w:val="nil"/>
              <w:left w:val="single" w:sz="4" w:space="0" w:color="auto"/>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hint="eastAsia"/>
                <w:kern w:val="0"/>
                <w:sz w:val="22"/>
              </w:rPr>
            </w:pPr>
            <w:r w:rsidRPr="00902944">
              <w:rPr>
                <w:rFonts w:ascii="宋体" w:eastAsia="宋体" w:hAnsi="宋体" w:cs="宋体" w:hint="eastAsia"/>
                <w:kern w:val="0"/>
                <w:sz w:val="22"/>
              </w:rPr>
              <w:t>20.58</w:t>
            </w:r>
          </w:p>
        </w:tc>
        <w:tc>
          <w:tcPr>
            <w:tcW w:w="766" w:type="dxa"/>
            <w:tcBorders>
              <w:top w:val="nil"/>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20.58</w:t>
            </w:r>
          </w:p>
        </w:tc>
        <w:tc>
          <w:tcPr>
            <w:tcW w:w="2130"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10</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right"/>
              <w:rPr>
                <w:rFonts w:ascii="宋体" w:eastAsia="宋体" w:hAnsi="宋体" w:cs="宋体"/>
                <w:kern w:val="0"/>
                <w:sz w:val="22"/>
              </w:rPr>
            </w:pPr>
            <w:r w:rsidRPr="00902944">
              <w:rPr>
                <w:rFonts w:ascii="宋体" w:eastAsia="宋体" w:hAnsi="宋体" w:cs="宋体" w:hint="eastAsia"/>
                <w:kern w:val="0"/>
                <w:sz w:val="22"/>
              </w:rPr>
              <w:t>100%</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10</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2655" w:type="dxa"/>
            <w:gridSpan w:val="3"/>
            <w:vMerge/>
            <w:tcBorders>
              <w:top w:val="single" w:sz="4" w:space="0" w:color="auto"/>
              <w:left w:val="single" w:sz="4" w:space="0" w:color="auto"/>
              <w:bottom w:val="single" w:sz="4" w:space="0" w:color="auto"/>
              <w:right w:val="single" w:sz="4" w:space="0" w:color="auto"/>
            </w:tcBorders>
            <w:vAlign w:val="center"/>
          </w:tcPr>
          <w:p w:rsidR="00E878EE" w:rsidRPr="00902944" w:rsidRDefault="00E878EE" w:rsidP="00C55ACD">
            <w:pPr>
              <w:widowControl/>
              <w:jc w:val="left"/>
              <w:rPr>
                <w:rFonts w:ascii="宋体" w:eastAsia="宋体" w:hAnsi="宋体" w:cs="宋体"/>
                <w:kern w:val="0"/>
                <w:sz w:val="22"/>
              </w:rPr>
            </w:pPr>
          </w:p>
        </w:tc>
        <w:tc>
          <w:tcPr>
            <w:tcW w:w="1801" w:type="dxa"/>
            <w:gridSpan w:val="2"/>
            <w:tcBorders>
              <w:top w:val="nil"/>
              <w:left w:val="nil"/>
              <w:bottom w:val="single" w:sz="4" w:space="0" w:color="auto"/>
              <w:right w:val="single" w:sz="4" w:space="0" w:color="auto"/>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r>
              <w:rPr>
                <w:rFonts w:ascii="宋体" w:eastAsia="宋体" w:hAnsi="宋体" w:cs="宋体" w:hint="eastAsia"/>
                <w:kern w:val="0"/>
                <w:sz w:val="22"/>
              </w:rPr>
              <w:t>上年</w:t>
            </w:r>
            <w:r>
              <w:rPr>
                <w:rFonts w:ascii="宋体" w:eastAsia="宋体" w:hAnsi="宋体" w:cs="宋体"/>
                <w:kern w:val="0"/>
                <w:sz w:val="22"/>
              </w:rPr>
              <w:t>结转资金</w:t>
            </w:r>
          </w:p>
        </w:tc>
        <w:tc>
          <w:tcPr>
            <w:tcW w:w="2065" w:type="dxa"/>
            <w:gridSpan w:val="2"/>
            <w:tcBorders>
              <w:top w:val="single" w:sz="4" w:space="0" w:color="auto"/>
              <w:left w:val="nil"/>
              <w:bottom w:val="single" w:sz="4" w:space="0" w:color="auto"/>
              <w:right w:val="nil"/>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p>
        </w:tc>
        <w:tc>
          <w:tcPr>
            <w:tcW w:w="1498" w:type="dxa"/>
            <w:tcBorders>
              <w:top w:val="nil"/>
              <w:left w:val="single" w:sz="4" w:space="0" w:color="auto"/>
              <w:bottom w:val="single" w:sz="4" w:space="0" w:color="auto"/>
              <w:right w:val="single" w:sz="4" w:space="0" w:color="auto"/>
            </w:tcBorders>
          </w:tcPr>
          <w:p w:rsidR="00E878EE" w:rsidRPr="00902944" w:rsidRDefault="00E878EE" w:rsidP="00C55ACD">
            <w:pPr>
              <w:widowControl/>
              <w:jc w:val="center"/>
              <w:rPr>
                <w:rFonts w:ascii="宋体" w:eastAsia="宋体" w:hAnsi="宋体" w:cs="宋体" w:hint="eastAsia"/>
                <w:kern w:val="0"/>
                <w:sz w:val="22"/>
              </w:rPr>
            </w:pPr>
          </w:p>
        </w:tc>
        <w:tc>
          <w:tcPr>
            <w:tcW w:w="766" w:type="dxa"/>
            <w:tcBorders>
              <w:top w:val="nil"/>
              <w:left w:val="single" w:sz="4" w:space="0" w:color="auto"/>
              <w:bottom w:val="single" w:sz="4" w:space="0" w:color="auto"/>
              <w:right w:val="single" w:sz="4" w:space="0" w:color="auto"/>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p>
        </w:tc>
        <w:tc>
          <w:tcPr>
            <w:tcW w:w="2130" w:type="dxa"/>
            <w:gridSpan w:val="2"/>
            <w:tcBorders>
              <w:top w:val="nil"/>
              <w:left w:val="nil"/>
              <w:bottom w:val="single" w:sz="4" w:space="0" w:color="auto"/>
              <w:right w:val="single" w:sz="4" w:space="0" w:color="auto"/>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p>
        </w:tc>
        <w:tc>
          <w:tcPr>
            <w:tcW w:w="1576" w:type="dxa"/>
            <w:tcBorders>
              <w:top w:val="nil"/>
              <w:left w:val="nil"/>
              <w:bottom w:val="single" w:sz="4" w:space="0" w:color="auto"/>
              <w:right w:val="single" w:sz="4" w:space="0" w:color="auto"/>
            </w:tcBorders>
            <w:shd w:val="clear" w:color="auto" w:fill="auto"/>
            <w:vAlign w:val="center"/>
          </w:tcPr>
          <w:p w:rsidR="00E878EE" w:rsidRPr="00902944" w:rsidRDefault="00E878EE" w:rsidP="00C55ACD">
            <w:pPr>
              <w:widowControl/>
              <w:jc w:val="right"/>
              <w:rPr>
                <w:rFonts w:ascii="宋体" w:eastAsia="宋体" w:hAnsi="宋体" w:cs="宋体" w:hint="eastAsia"/>
                <w:kern w:val="0"/>
                <w:sz w:val="22"/>
              </w:rPr>
            </w:pPr>
          </w:p>
        </w:tc>
        <w:tc>
          <w:tcPr>
            <w:tcW w:w="1257" w:type="dxa"/>
            <w:tcBorders>
              <w:top w:val="nil"/>
              <w:left w:val="nil"/>
              <w:bottom w:val="single" w:sz="4" w:space="0" w:color="auto"/>
              <w:right w:val="single" w:sz="4" w:space="0" w:color="auto"/>
            </w:tcBorders>
            <w:shd w:val="clear" w:color="auto" w:fill="auto"/>
            <w:vAlign w:val="center"/>
          </w:tcPr>
          <w:p w:rsidR="00E878EE" w:rsidRPr="00902944" w:rsidRDefault="00E878EE" w:rsidP="00C55ACD">
            <w:pPr>
              <w:widowControl/>
              <w:jc w:val="center"/>
              <w:rPr>
                <w:rFonts w:ascii="宋体" w:eastAsia="宋体" w:hAnsi="宋体" w:cs="宋体" w:hint="eastAsia"/>
                <w:kern w:val="0"/>
                <w:sz w:val="22"/>
              </w:rPr>
            </w:pPr>
          </w:p>
        </w:tc>
        <w:tc>
          <w:tcPr>
            <w:tcW w:w="834" w:type="dxa"/>
            <w:gridSpan w:val="2"/>
            <w:tcBorders>
              <w:top w:val="nil"/>
              <w:left w:val="nil"/>
              <w:bottom w:val="single" w:sz="4" w:space="0" w:color="auto"/>
              <w:right w:val="single" w:sz="4" w:space="0" w:color="auto"/>
            </w:tcBorders>
            <w:shd w:val="clear" w:color="auto" w:fill="auto"/>
            <w:vAlign w:val="center"/>
          </w:tcPr>
          <w:p w:rsidR="00E878EE" w:rsidRPr="00902944" w:rsidRDefault="00E878EE" w:rsidP="00C55ACD">
            <w:pPr>
              <w:widowControl/>
              <w:jc w:val="left"/>
              <w:rPr>
                <w:rFonts w:ascii="宋体" w:eastAsia="宋体" w:hAnsi="宋体" w:cs="宋体" w:hint="eastAsia"/>
                <w:kern w:val="0"/>
                <w:sz w:val="22"/>
              </w:rPr>
            </w:pPr>
          </w:p>
        </w:tc>
      </w:tr>
      <w:tr w:rsidR="00E878EE" w:rsidRPr="00C55ACD" w:rsidTr="00E878EE">
        <w:trPr>
          <w:trHeight w:val="602"/>
        </w:trPr>
        <w:tc>
          <w:tcPr>
            <w:tcW w:w="2655" w:type="dxa"/>
            <w:gridSpan w:val="3"/>
            <w:vMerge/>
            <w:tcBorders>
              <w:top w:val="single" w:sz="4" w:space="0" w:color="auto"/>
              <w:left w:val="single" w:sz="4" w:space="0" w:color="auto"/>
              <w:bottom w:val="single" w:sz="4" w:space="0" w:color="auto"/>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1801"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     其他资金</w:t>
            </w:r>
          </w:p>
        </w:tc>
        <w:tc>
          <w:tcPr>
            <w:tcW w:w="2065" w:type="dxa"/>
            <w:gridSpan w:val="2"/>
            <w:tcBorders>
              <w:top w:val="single" w:sz="4" w:space="0" w:color="auto"/>
              <w:left w:val="nil"/>
              <w:bottom w:val="single" w:sz="4" w:space="0" w:color="auto"/>
              <w:right w:val="nil"/>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　</w:t>
            </w:r>
          </w:p>
        </w:tc>
        <w:tc>
          <w:tcPr>
            <w:tcW w:w="1498" w:type="dxa"/>
            <w:tcBorders>
              <w:top w:val="nil"/>
              <w:left w:val="single" w:sz="4" w:space="0" w:color="auto"/>
              <w:bottom w:val="single" w:sz="4" w:space="0" w:color="auto"/>
              <w:right w:val="single" w:sz="4" w:space="0" w:color="auto"/>
            </w:tcBorders>
          </w:tcPr>
          <w:p w:rsidR="00E878EE" w:rsidRPr="00902944" w:rsidRDefault="00E878EE" w:rsidP="00C55ACD">
            <w:pPr>
              <w:widowControl/>
              <w:jc w:val="center"/>
              <w:rPr>
                <w:rFonts w:ascii="宋体" w:eastAsia="宋体" w:hAnsi="宋体" w:cs="宋体" w:hint="eastAsia"/>
                <w:kern w:val="0"/>
                <w:sz w:val="22"/>
              </w:rPr>
            </w:pPr>
          </w:p>
        </w:tc>
        <w:tc>
          <w:tcPr>
            <w:tcW w:w="766" w:type="dxa"/>
            <w:tcBorders>
              <w:top w:val="nil"/>
              <w:left w:val="single" w:sz="4" w:space="0" w:color="auto"/>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　</w:t>
            </w:r>
          </w:p>
        </w:tc>
        <w:tc>
          <w:tcPr>
            <w:tcW w:w="2130"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val="restart"/>
            <w:tcBorders>
              <w:top w:val="nil"/>
              <w:left w:val="single" w:sz="4" w:space="0" w:color="auto"/>
              <w:bottom w:val="single" w:sz="4" w:space="0" w:color="000000"/>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年度总体目标</w:t>
            </w:r>
          </w:p>
        </w:tc>
        <w:tc>
          <w:tcPr>
            <w:tcW w:w="7098" w:type="dxa"/>
            <w:gridSpan w:val="7"/>
            <w:tcBorders>
              <w:top w:val="single" w:sz="4" w:space="0" w:color="auto"/>
              <w:left w:val="nil"/>
              <w:bottom w:val="single" w:sz="4" w:space="0" w:color="auto"/>
              <w:right w:val="single" w:sz="4" w:space="0" w:color="auto"/>
            </w:tcBorders>
            <w:shd w:val="clear" w:color="000000" w:fill="FFFFFF"/>
            <w:vAlign w:val="center"/>
            <w:hideMark/>
          </w:tcPr>
          <w:p w:rsidR="00E878EE" w:rsidRPr="00902944" w:rsidRDefault="00E878EE" w:rsidP="00C55ACD">
            <w:pPr>
              <w:widowControl/>
              <w:jc w:val="center"/>
              <w:rPr>
                <w:rFonts w:ascii="宋体" w:eastAsia="宋体" w:hAnsi="宋体" w:cs="宋体" w:hint="eastAsia"/>
                <w:kern w:val="0"/>
                <w:sz w:val="22"/>
              </w:rPr>
            </w:pPr>
            <w:r w:rsidRPr="00902944">
              <w:rPr>
                <w:rFonts w:ascii="宋体" w:eastAsia="宋体" w:hAnsi="宋体" w:cs="宋体" w:hint="eastAsia"/>
                <w:kern w:val="0"/>
                <w:sz w:val="22"/>
              </w:rPr>
              <w:t>年初设定目标</w:t>
            </w:r>
          </w:p>
        </w:tc>
        <w:tc>
          <w:tcPr>
            <w:tcW w:w="5729"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年度总体目标完成情况综述</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4580"/>
        </w:trPr>
        <w:tc>
          <w:tcPr>
            <w:tcW w:w="921"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7098" w:type="dxa"/>
            <w:gridSpan w:val="7"/>
            <w:tcBorders>
              <w:top w:val="single" w:sz="4" w:space="0" w:color="auto"/>
              <w:left w:val="nil"/>
              <w:bottom w:val="single" w:sz="4" w:space="0" w:color="auto"/>
              <w:right w:val="single" w:sz="4" w:space="0" w:color="000000"/>
            </w:tcBorders>
            <w:shd w:val="clear" w:color="000000" w:fill="FFFFFF"/>
            <w:vAlign w:val="center"/>
            <w:hideMark/>
          </w:tcPr>
          <w:p w:rsidR="00E878EE" w:rsidRDefault="00E878EE" w:rsidP="00E878EE">
            <w:pPr>
              <w:widowControl/>
              <w:jc w:val="left"/>
              <w:rPr>
                <w:rFonts w:ascii="宋体" w:eastAsia="宋体" w:hAnsi="宋体" w:cs="宋体" w:hint="eastAsia"/>
                <w:kern w:val="0"/>
                <w:sz w:val="22"/>
              </w:rPr>
            </w:pPr>
            <w:r w:rsidRPr="00902944">
              <w:rPr>
                <w:rFonts w:ascii="宋体" w:eastAsia="宋体" w:hAnsi="宋体" w:cs="宋体" w:hint="eastAsia"/>
                <w:kern w:val="0"/>
                <w:sz w:val="22"/>
              </w:rPr>
              <w:t xml:space="preserve"> 临床化学检验项目依托北京小汤山医院平台，与北京朝阳医院合作，围绕慢性疾病监测及健康体检服务，建立重要常规检测项目的量值传递途径；开展相关检测新技术和新指标，对新项目进行分析性能的评估以及方法间比对研究；建立完善的质量管理和标准化体系，力争达到ISO15189认可水平；参加继续教育培训等方式加强检验医学人才培训，加强人才培养，提升本单位在临床、科研、教学工作能力。</w:t>
            </w:r>
            <w:r w:rsidRPr="00902944">
              <w:rPr>
                <w:rFonts w:ascii="宋体" w:eastAsia="宋体" w:hAnsi="宋体" w:cs="宋体" w:hint="eastAsia"/>
                <w:kern w:val="0"/>
                <w:sz w:val="22"/>
              </w:rPr>
              <w:br/>
              <w:t xml:space="preserve">        年度目标：（1）建立常规方法糖化血红蛋白、葡萄糖、同型半胱氨酸、胆固醇、甘油三酯等项目的校准程序。（2）开展新项目1-3项，并对其进行性能验证和评价。（3）完成小汤山42名医师的临床基因扩增规范化培训，并获得PCR上岗证。（4）开展北京市级以上医学继续教育项目至少1项。（5）培养进修生至少1名。（6）发表SCI期刊至少1篇。（7）开展学术交流2-3次；总预算金额100万，第一年28.5万，第二年41.5万，第三年30万。</w:t>
            </w:r>
            <w:r w:rsidRPr="00902944">
              <w:rPr>
                <w:rFonts w:ascii="宋体" w:eastAsia="宋体" w:hAnsi="宋体" w:cs="宋体" w:hint="eastAsia"/>
                <w:kern w:val="0"/>
                <w:sz w:val="22"/>
              </w:rPr>
              <w:br/>
              <w:t xml:space="preserve">        低氧适应医学项目通过与首都医科大学宣武医院的合作，进一步完善北京高原适应研究康复中心的建设，包括各相关手册的完善、入高原前各阶段风险预防及风险分层标准的制定等，以保障援建人员能够安全入藏、安心在藏、平安出藏，在与首都医科大学宣武医院的合作下，使北京高原适应研究康复中心逐渐成为国内有影响力的重点学科，为高原援建人员健康保障提供科学依据。  </w:t>
            </w:r>
          </w:p>
        </w:tc>
        <w:tc>
          <w:tcPr>
            <w:tcW w:w="5729" w:type="dxa"/>
            <w:gridSpan w:val="5"/>
            <w:tcBorders>
              <w:top w:val="single" w:sz="4" w:space="0" w:color="auto"/>
              <w:left w:val="nil"/>
              <w:bottom w:val="single" w:sz="4" w:space="0" w:color="auto"/>
              <w:right w:val="single" w:sz="4" w:space="0" w:color="000000"/>
            </w:tcBorders>
            <w:shd w:val="clear" w:color="000000" w:fill="FFFFFF"/>
            <w:vAlign w:val="center"/>
            <w:hideMark/>
          </w:tcPr>
          <w:p w:rsidR="00E878EE" w:rsidRPr="00902944" w:rsidRDefault="00E878EE" w:rsidP="00C55ACD">
            <w:pPr>
              <w:widowControl/>
              <w:jc w:val="center"/>
              <w:rPr>
                <w:rFonts w:ascii="宋体" w:eastAsia="宋体" w:hAnsi="宋体" w:cs="宋体"/>
                <w:kern w:val="0"/>
                <w:sz w:val="22"/>
              </w:rPr>
            </w:pPr>
            <w:r>
              <w:rPr>
                <w:rFonts w:ascii="宋体" w:eastAsia="宋体" w:hAnsi="宋体" w:cs="宋体" w:hint="eastAsia"/>
                <w:kern w:val="0"/>
                <w:sz w:val="22"/>
              </w:rPr>
              <w:t>按照年度目标基本完成任务，受疫情影响,</w:t>
            </w:r>
            <w:r w:rsidRPr="00902944">
              <w:rPr>
                <w:rFonts w:ascii="宋体" w:eastAsia="宋体" w:hAnsi="宋体" w:cs="宋体" w:hint="eastAsia"/>
                <w:kern w:val="0"/>
                <w:sz w:val="22"/>
              </w:rPr>
              <w:t>血糖、同型半胱氨酸正确度验证完成，量值传递进行中。</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val="restart"/>
            <w:tcBorders>
              <w:top w:val="nil"/>
              <w:left w:val="single" w:sz="4" w:space="0" w:color="auto"/>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绩</w:t>
            </w:r>
            <w:r w:rsidRPr="00902944">
              <w:rPr>
                <w:rFonts w:ascii="宋体" w:eastAsia="宋体" w:hAnsi="宋体" w:cs="宋体" w:hint="eastAsia"/>
                <w:kern w:val="0"/>
                <w:sz w:val="22"/>
              </w:rPr>
              <w:br/>
              <w:t>效</w:t>
            </w:r>
            <w:r w:rsidRPr="00902944">
              <w:rPr>
                <w:rFonts w:ascii="宋体" w:eastAsia="宋体" w:hAnsi="宋体" w:cs="宋体" w:hint="eastAsia"/>
                <w:kern w:val="0"/>
                <w:sz w:val="22"/>
              </w:rPr>
              <w:br/>
              <w:t>指</w:t>
            </w:r>
            <w:r w:rsidRPr="00902944">
              <w:rPr>
                <w:rFonts w:ascii="宋体" w:eastAsia="宋体" w:hAnsi="宋体" w:cs="宋体" w:hint="eastAsia"/>
                <w:kern w:val="0"/>
                <w:sz w:val="22"/>
              </w:rPr>
              <w:br/>
              <w:t>标</w:t>
            </w:r>
          </w:p>
        </w:tc>
        <w:tc>
          <w:tcPr>
            <w:tcW w:w="812"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一级指标</w:t>
            </w:r>
          </w:p>
        </w:tc>
        <w:tc>
          <w:tcPr>
            <w:tcW w:w="922"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二级指标</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三级指标</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年度指标值</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实际完成值</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分值</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得分</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未完成原因分析</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3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val="restart"/>
            <w:tcBorders>
              <w:top w:val="nil"/>
              <w:left w:val="single" w:sz="4" w:space="0" w:color="auto"/>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产</w:t>
            </w:r>
            <w:r w:rsidRPr="00902944">
              <w:rPr>
                <w:rFonts w:ascii="宋体" w:eastAsia="宋体" w:hAnsi="宋体" w:cs="宋体" w:hint="eastAsia"/>
                <w:kern w:val="0"/>
                <w:sz w:val="22"/>
              </w:rPr>
              <w:br/>
              <w:t>出</w:t>
            </w:r>
            <w:r w:rsidRPr="00902944">
              <w:rPr>
                <w:rFonts w:ascii="宋体" w:eastAsia="宋体" w:hAnsi="宋体" w:cs="宋体" w:hint="eastAsia"/>
                <w:kern w:val="0"/>
                <w:sz w:val="22"/>
              </w:rPr>
              <w:br/>
              <w:t>指</w:t>
            </w:r>
            <w:r w:rsidRPr="00902944">
              <w:rPr>
                <w:rFonts w:ascii="宋体" w:eastAsia="宋体" w:hAnsi="宋体" w:cs="宋体" w:hint="eastAsia"/>
                <w:kern w:val="0"/>
                <w:sz w:val="22"/>
              </w:rPr>
              <w:br/>
              <w:t>标</w:t>
            </w:r>
            <w:r w:rsidRPr="00902944">
              <w:rPr>
                <w:rFonts w:ascii="宋体" w:eastAsia="宋体" w:hAnsi="宋体" w:cs="宋体" w:hint="eastAsia"/>
                <w:kern w:val="0"/>
                <w:sz w:val="22"/>
              </w:rPr>
              <w:br/>
              <w:t>（50分)</w:t>
            </w:r>
          </w:p>
        </w:tc>
        <w:tc>
          <w:tcPr>
            <w:tcW w:w="922" w:type="dxa"/>
            <w:vMerge w:val="restart"/>
            <w:tcBorders>
              <w:top w:val="nil"/>
              <w:left w:val="single" w:sz="4" w:space="0" w:color="auto"/>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数量指标（15）</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 专业团队正副高级职称人数</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1人</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3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临床化学检验项目申请市级及以上课题个数</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1个</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3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临床化学检验项目发表论文篇数</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1篇</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2021年已定稿，2022年刊出。</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3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临床化学检验项目参加会议</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1-3次</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2人次</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3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低氧适应医学项目完善并推广低氧适应相关技术</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2-3项</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3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低氧适应医学项目参加会议</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1-2次</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val="restart"/>
            <w:tcBorders>
              <w:top w:val="single" w:sz="4" w:space="0" w:color="auto"/>
              <w:left w:val="single" w:sz="4" w:space="0" w:color="auto"/>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质量指标（15）</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临床化学检验项目与期刊论文达到的标准/水平</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SCI</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4</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2021年已定稿，2022年刊出。</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53"/>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临床化学检验项目北京市级学会任职人员中委员人数提高比例</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4</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4</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临床化学检验项目国内会议</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1-3次</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2人次</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3</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低氧适应医学项目国内会议</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1-2次</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4</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4</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val="restart"/>
            <w:tcBorders>
              <w:top w:val="nil"/>
              <w:left w:val="single" w:sz="4" w:space="0" w:color="auto"/>
              <w:bottom w:val="single" w:sz="4" w:space="0" w:color="000000"/>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进度指标（10）</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临床化学检验项目完成方案制定和前期准备工作</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临床化学检验项目ISO15189质量管理体系的初步建立</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临床化学检验项目数据收集统计</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　</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　</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723"/>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临床化学检验项目参加学术会议、培训时间</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888"/>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 完成方案制定和前期准备工作</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2021年6月前</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103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低氧适应医学项目完善并推广低氧适应技术、高原心脑体检专业技术和耐低氧能力检测及训练技术</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2021年12月前</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2275"/>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val="restart"/>
            <w:tcBorders>
              <w:top w:val="nil"/>
              <w:left w:val="single" w:sz="4" w:space="0" w:color="auto"/>
              <w:bottom w:val="single" w:sz="4" w:space="0" w:color="000000"/>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成本指标（10）</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 预算总成本</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预算总成本控制在28.5万，其中材料费5.0万元；测试化验加工费2.0万元；人才培养费1.5万元；会议费1万，出版/文献传播/知识产权/事务费5.0万；人员聘用及劳务费2.0万元；临床应用费0.50万元；办公及设备购置更新4万，房屋修缮1万，人才引进1万，其他费用5.5万元</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预算总成本控制在28.5万，其中材料费5.0万元；测试化验加工费2.0万元；人才培养费1.5万元；会议费1万，出版/文献传播/知识产权/事务费5.0万；人员聘用及劳务费2.0万元；临床应用费0.50万元；办公及设备购置更新4万，房屋修缮1万，人才引进1万，其他费用5.5万元</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1883"/>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tcBorders>
              <w:top w:val="nil"/>
              <w:left w:val="nil"/>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　</w:t>
            </w:r>
          </w:p>
        </w:tc>
        <w:tc>
          <w:tcPr>
            <w:tcW w:w="922" w:type="dxa"/>
            <w:vMerge/>
            <w:tcBorders>
              <w:top w:val="nil"/>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 预算总成本</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预算总成本控制在15.1万，其中材料费1.7万，测试化验加工费0.2万，人才培养费3.2万，会议费1.2万，出版/文献传播/知识产权/事务费2.2万，人员聘用及劳务费2.7万元，临床应用费0.1万，办公及专用设备更新购置2.3万，其他费用1.5万。</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预算总成本控制在15.1万，其中材料费1.7万，测试化验加工费0.2万，人才培养费3.2万，会议费1.2万，出版/文献传播/知识产权/事务费2.2万，人员聘用及劳务费2.7万元，临床应用费0.1万，办公及专用设备更新购置2.3万，其他费用1.5万。</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val="restart"/>
            <w:tcBorders>
              <w:top w:val="single" w:sz="4" w:space="0" w:color="auto"/>
              <w:left w:val="single" w:sz="4" w:space="0" w:color="auto"/>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效</w:t>
            </w:r>
            <w:r w:rsidRPr="00902944">
              <w:rPr>
                <w:rFonts w:ascii="宋体" w:eastAsia="宋体" w:hAnsi="宋体" w:cs="宋体" w:hint="eastAsia"/>
                <w:kern w:val="0"/>
                <w:sz w:val="22"/>
              </w:rPr>
              <w:br/>
              <w:t>果</w:t>
            </w:r>
            <w:r w:rsidRPr="00902944">
              <w:rPr>
                <w:rFonts w:ascii="宋体" w:eastAsia="宋体" w:hAnsi="宋体" w:cs="宋体" w:hint="eastAsia"/>
                <w:kern w:val="0"/>
                <w:sz w:val="22"/>
              </w:rPr>
              <w:br/>
              <w:t>指</w:t>
            </w:r>
            <w:r w:rsidRPr="00902944">
              <w:rPr>
                <w:rFonts w:ascii="宋体" w:eastAsia="宋体" w:hAnsi="宋体" w:cs="宋体" w:hint="eastAsia"/>
                <w:kern w:val="0"/>
                <w:sz w:val="22"/>
              </w:rPr>
              <w:br/>
              <w:t>标</w:t>
            </w:r>
            <w:r w:rsidRPr="00902944">
              <w:rPr>
                <w:rFonts w:ascii="宋体" w:eastAsia="宋体" w:hAnsi="宋体" w:cs="宋体" w:hint="eastAsia"/>
                <w:kern w:val="0"/>
                <w:sz w:val="22"/>
              </w:rPr>
              <w:br/>
              <w:t>（40分）</w:t>
            </w:r>
          </w:p>
        </w:tc>
        <w:tc>
          <w:tcPr>
            <w:tcW w:w="922" w:type="dxa"/>
            <w:vMerge w:val="restart"/>
            <w:tcBorders>
              <w:top w:val="nil"/>
              <w:left w:val="single" w:sz="4" w:space="0" w:color="auto"/>
              <w:bottom w:val="nil"/>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效益</w:t>
            </w:r>
            <w:r w:rsidRPr="00902944">
              <w:rPr>
                <w:rFonts w:ascii="宋体" w:eastAsia="宋体" w:hAnsi="宋体" w:cs="宋体" w:hint="eastAsia"/>
                <w:kern w:val="0"/>
                <w:sz w:val="22"/>
              </w:rPr>
              <w:br/>
              <w:t>指标（30）</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临床化学检验项目初步建立ISO15189质量管理体系</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 xml:space="preserve">完善科室质量管理体系，提升检验质量 </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完善科室质量管理体系，提升检验质量</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1687"/>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临床化学检验项目研制标准物质，实现常规方法的量值传递。</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推进检验结果标准化，实现常规项目结果在准确科学基础上的互认</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推进检验结果标准化，实现常规项目结果在准确科学基础上的互认</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受疫情影响。血糖、同型半胱氨酸正确度验证完成，量值传递进行中。</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低氧适应医学项目低氧适应医学项目提高北京高原适应研究康复中心在国内的影响力</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提高影响力</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达到预期</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北京高原适应研究康复中心长期为高原援建人员提供健康保障</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提供长期的健康保障</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达到预期</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使低氧适应医学成为脑血管疾病的治疗措施之一</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提供新的疾病治疗手段</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达到预期</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6</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服务对象</w:t>
            </w:r>
            <w:r w:rsidRPr="00902944">
              <w:rPr>
                <w:rFonts w:ascii="宋体" w:eastAsia="宋体" w:hAnsi="宋体" w:cs="宋体" w:hint="eastAsia"/>
                <w:kern w:val="0"/>
                <w:sz w:val="22"/>
              </w:rPr>
              <w:br/>
              <w:t>满意度指标（10）</w:t>
            </w: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临床化学检验项目课题参与人员及领导满意度</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90%</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90%</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5</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91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single" w:sz="4" w:space="0" w:color="auto"/>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低氧适应医学项目课题受试者满意度</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＞90%</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＞90%</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2.5</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2.5</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1039"/>
        </w:trPr>
        <w:tc>
          <w:tcPr>
            <w:tcW w:w="921" w:type="dxa"/>
            <w:vMerge/>
            <w:tcBorders>
              <w:top w:val="nil"/>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812" w:type="dxa"/>
            <w:vMerge/>
            <w:tcBorders>
              <w:top w:val="single" w:sz="4" w:space="0" w:color="auto"/>
              <w:left w:val="single" w:sz="4" w:space="0" w:color="auto"/>
              <w:bottom w:val="nil"/>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922" w:type="dxa"/>
            <w:vMerge/>
            <w:tcBorders>
              <w:top w:val="single" w:sz="4" w:space="0" w:color="auto"/>
              <w:left w:val="single" w:sz="4" w:space="0" w:color="auto"/>
              <w:bottom w:val="single" w:sz="4" w:space="0" w:color="000000"/>
              <w:right w:val="single" w:sz="4" w:space="0" w:color="auto"/>
            </w:tcBorders>
            <w:vAlign w:val="center"/>
            <w:hideMark/>
          </w:tcPr>
          <w:p w:rsidR="00E878EE" w:rsidRPr="00902944" w:rsidRDefault="00E878EE" w:rsidP="00C55ACD">
            <w:pPr>
              <w:widowControl/>
              <w:jc w:val="left"/>
              <w:rPr>
                <w:rFonts w:ascii="宋体" w:eastAsia="宋体" w:hAnsi="宋体" w:cs="宋体"/>
                <w:kern w:val="0"/>
                <w:sz w:val="22"/>
              </w:rPr>
            </w:pPr>
          </w:p>
        </w:tc>
        <w:tc>
          <w:tcPr>
            <w:tcW w:w="2336" w:type="dxa"/>
            <w:gridSpan w:val="3"/>
            <w:tcBorders>
              <w:top w:val="single" w:sz="4" w:space="0" w:color="auto"/>
              <w:left w:val="nil"/>
              <w:bottom w:val="single" w:sz="4" w:space="0" w:color="auto"/>
              <w:right w:val="single" w:sz="4" w:space="0" w:color="000000"/>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低氧适应医学项目课题研究的参与人员及领导满意度</w:t>
            </w:r>
          </w:p>
        </w:tc>
        <w:tc>
          <w:tcPr>
            <w:tcW w:w="1530"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＞90%</w:t>
            </w:r>
          </w:p>
        </w:tc>
        <w:tc>
          <w:tcPr>
            <w:tcW w:w="2551" w:type="dxa"/>
            <w:gridSpan w:val="3"/>
            <w:tcBorders>
              <w:top w:val="nil"/>
              <w:left w:val="nil"/>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＞90%</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2.5</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2.5</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C55ACD" w:rsidTr="00E878EE">
        <w:trPr>
          <w:trHeight w:val="602"/>
        </w:trPr>
        <w:tc>
          <w:tcPr>
            <w:tcW w:w="9072" w:type="dxa"/>
            <w:gridSpan w:val="10"/>
            <w:tcBorders>
              <w:top w:val="single" w:sz="4" w:space="0" w:color="auto"/>
              <w:left w:val="single" w:sz="4" w:space="0" w:color="auto"/>
              <w:bottom w:val="single" w:sz="4" w:space="0" w:color="auto"/>
              <w:right w:val="single" w:sz="4" w:space="0" w:color="auto"/>
            </w:tcBorders>
            <w:vAlign w:val="center"/>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总分：</w:t>
            </w:r>
          </w:p>
        </w:tc>
        <w:tc>
          <w:tcPr>
            <w:tcW w:w="1843"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100</w:t>
            </w:r>
          </w:p>
        </w:tc>
        <w:tc>
          <w:tcPr>
            <w:tcW w:w="1576"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center"/>
              <w:rPr>
                <w:rFonts w:ascii="宋体" w:eastAsia="宋体" w:hAnsi="宋体" w:cs="宋体"/>
                <w:kern w:val="0"/>
                <w:sz w:val="22"/>
              </w:rPr>
            </w:pPr>
            <w:r w:rsidRPr="00902944">
              <w:rPr>
                <w:rFonts w:ascii="宋体" w:eastAsia="宋体" w:hAnsi="宋体" w:cs="宋体" w:hint="eastAsia"/>
                <w:kern w:val="0"/>
                <w:sz w:val="22"/>
              </w:rPr>
              <w:t>98</w:t>
            </w:r>
          </w:p>
        </w:tc>
        <w:tc>
          <w:tcPr>
            <w:tcW w:w="1257" w:type="dxa"/>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c>
          <w:tcPr>
            <w:tcW w:w="834" w:type="dxa"/>
            <w:gridSpan w:val="2"/>
            <w:tcBorders>
              <w:top w:val="nil"/>
              <w:left w:val="nil"/>
              <w:bottom w:val="single" w:sz="4" w:space="0" w:color="auto"/>
              <w:right w:val="single" w:sz="4" w:space="0" w:color="auto"/>
            </w:tcBorders>
            <w:shd w:val="clear" w:color="auto" w:fill="auto"/>
            <w:vAlign w:val="center"/>
            <w:hideMark/>
          </w:tcPr>
          <w:p w:rsidR="00E878EE" w:rsidRPr="00902944" w:rsidRDefault="00E878EE" w:rsidP="00C55ACD">
            <w:pPr>
              <w:widowControl/>
              <w:jc w:val="left"/>
              <w:rPr>
                <w:rFonts w:ascii="宋体" w:eastAsia="宋体" w:hAnsi="宋体" w:cs="宋体"/>
                <w:kern w:val="0"/>
                <w:sz w:val="22"/>
              </w:rPr>
            </w:pPr>
            <w:r w:rsidRPr="00902944">
              <w:rPr>
                <w:rFonts w:ascii="宋体" w:eastAsia="宋体" w:hAnsi="宋体" w:cs="宋体" w:hint="eastAsia"/>
                <w:kern w:val="0"/>
                <w:sz w:val="22"/>
              </w:rPr>
              <w:t xml:space="preserve">　</w:t>
            </w:r>
          </w:p>
        </w:tc>
      </w:tr>
      <w:tr w:rsidR="00E878EE" w:rsidRPr="001E1829" w:rsidTr="00E878EE">
        <w:trPr>
          <w:gridAfter w:val="1"/>
          <w:wAfter w:w="350" w:type="dxa"/>
          <w:trHeight w:val="451"/>
        </w:trPr>
        <w:tc>
          <w:tcPr>
            <w:tcW w:w="14232" w:type="dxa"/>
            <w:gridSpan w:val="14"/>
            <w:tcBorders>
              <w:top w:val="nil"/>
              <w:left w:val="nil"/>
              <w:bottom w:val="nil"/>
              <w:right w:val="nil"/>
            </w:tcBorders>
            <w:shd w:val="clear" w:color="auto" w:fill="auto"/>
            <w:vAlign w:val="center"/>
            <w:hideMark/>
          </w:tcPr>
          <w:p w:rsidR="00E878EE" w:rsidRPr="001E1829" w:rsidRDefault="00E878EE" w:rsidP="008B270C">
            <w:pPr>
              <w:widowControl/>
              <w:jc w:val="left"/>
              <w:rPr>
                <w:rFonts w:ascii="宋体" w:eastAsia="宋体" w:hAnsi="宋体" w:cs="宋体"/>
                <w:kern w:val="0"/>
                <w:sz w:val="22"/>
              </w:rPr>
            </w:pPr>
            <w:r w:rsidRPr="001E1829">
              <w:rPr>
                <w:rFonts w:ascii="宋体" w:eastAsia="宋体" w:hAnsi="宋体" w:cs="宋体" w:hint="eastAsia"/>
                <w:kern w:val="0"/>
                <w:sz w:val="22"/>
              </w:rPr>
              <w:t>注： 1.得分一档最高不能超过该指标分值上限。</w:t>
            </w:r>
          </w:p>
        </w:tc>
      </w:tr>
      <w:tr w:rsidR="00E878EE" w:rsidRPr="001E1829" w:rsidTr="00E878EE">
        <w:trPr>
          <w:gridAfter w:val="1"/>
          <w:wAfter w:w="350" w:type="dxa"/>
          <w:trHeight w:val="863"/>
        </w:trPr>
        <w:tc>
          <w:tcPr>
            <w:tcW w:w="14232" w:type="dxa"/>
            <w:gridSpan w:val="14"/>
            <w:tcBorders>
              <w:top w:val="nil"/>
              <w:left w:val="nil"/>
              <w:bottom w:val="nil"/>
              <w:right w:val="nil"/>
            </w:tcBorders>
            <w:shd w:val="clear" w:color="auto" w:fill="auto"/>
            <w:vAlign w:val="center"/>
            <w:hideMark/>
          </w:tcPr>
          <w:p w:rsidR="00E878EE" w:rsidRPr="001E1829" w:rsidRDefault="00E878EE" w:rsidP="008B270C">
            <w:pPr>
              <w:widowControl/>
              <w:jc w:val="left"/>
              <w:rPr>
                <w:rFonts w:ascii="宋体" w:eastAsia="宋体" w:hAnsi="宋体" w:cs="宋体"/>
                <w:kern w:val="0"/>
                <w:sz w:val="22"/>
              </w:rPr>
            </w:pPr>
            <w:r w:rsidRPr="001E1829">
              <w:rPr>
                <w:rFonts w:ascii="宋体" w:eastAsia="宋体" w:hAnsi="宋体" w:cs="宋体" w:hint="eastAsia"/>
                <w:kern w:val="0"/>
                <w:sz w:val="22"/>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rsidR="00E878EE" w:rsidRPr="001E1829" w:rsidTr="00E878EE">
        <w:trPr>
          <w:gridAfter w:val="1"/>
          <w:wAfter w:w="350" w:type="dxa"/>
          <w:trHeight w:val="1371"/>
        </w:trPr>
        <w:tc>
          <w:tcPr>
            <w:tcW w:w="14232" w:type="dxa"/>
            <w:gridSpan w:val="14"/>
            <w:tcBorders>
              <w:top w:val="nil"/>
              <w:left w:val="nil"/>
              <w:bottom w:val="nil"/>
              <w:right w:val="nil"/>
            </w:tcBorders>
            <w:shd w:val="clear" w:color="auto" w:fill="auto"/>
            <w:vAlign w:val="center"/>
            <w:hideMark/>
          </w:tcPr>
          <w:p w:rsidR="00E878EE" w:rsidRPr="001E1829" w:rsidRDefault="00E878EE" w:rsidP="008B270C">
            <w:pPr>
              <w:widowControl/>
              <w:jc w:val="left"/>
              <w:rPr>
                <w:rFonts w:ascii="宋体" w:eastAsia="宋体" w:hAnsi="宋体" w:cs="宋体"/>
                <w:kern w:val="0"/>
                <w:sz w:val="22"/>
              </w:rPr>
            </w:pPr>
            <w:r w:rsidRPr="001E1829">
              <w:rPr>
                <w:rFonts w:ascii="宋体" w:eastAsia="宋体" w:hAnsi="宋体" w:cs="宋体" w:hint="eastAsia"/>
                <w:kern w:val="0"/>
                <w:sz w:val="22"/>
              </w:rPr>
              <w:t xml:space="preserve">    3.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E878EE" w:rsidRPr="001E1829" w:rsidTr="00E878EE">
        <w:trPr>
          <w:gridAfter w:val="1"/>
          <w:wAfter w:w="350" w:type="dxa"/>
          <w:trHeight w:val="516"/>
        </w:trPr>
        <w:tc>
          <w:tcPr>
            <w:tcW w:w="14232" w:type="dxa"/>
            <w:gridSpan w:val="14"/>
            <w:tcBorders>
              <w:top w:val="nil"/>
              <w:left w:val="nil"/>
              <w:bottom w:val="nil"/>
              <w:right w:val="nil"/>
            </w:tcBorders>
            <w:shd w:val="clear" w:color="auto" w:fill="auto"/>
            <w:vAlign w:val="center"/>
            <w:hideMark/>
          </w:tcPr>
          <w:p w:rsidR="00E878EE" w:rsidRPr="001E1829" w:rsidRDefault="00E878EE" w:rsidP="008B270C">
            <w:pPr>
              <w:widowControl/>
              <w:jc w:val="left"/>
              <w:rPr>
                <w:rFonts w:ascii="宋体" w:eastAsia="宋体" w:hAnsi="宋体" w:cs="宋体"/>
                <w:kern w:val="0"/>
                <w:sz w:val="22"/>
              </w:rPr>
            </w:pPr>
            <w:r w:rsidRPr="001E1829">
              <w:rPr>
                <w:rFonts w:ascii="宋体" w:eastAsia="宋体" w:hAnsi="宋体" w:cs="宋体" w:hint="eastAsia"/>
                <w:kern w:val="0"/>
                <w:sz w:val="22"/>
              </w:rPr>
              <w:t xml:space="preserve">    4.请在“未完成原因分析”中说明偏离目标、不能完成目标的原因及拟采取的措施。</w:t>
            </w:r>
          </w:p>
        </w:tc>
      </w:tr>
    </w:tbl>
    <w:p w:rsidR="00C717BF" w:rsidRPr="00E878EE" w:rsidRDefault="00C717BF" w:rsidP="00C55ACD"/>
    <w:sectPr w:rsidR="00C717BF" w:rsidRPr="00E878EE" w:rsidSect="00714D2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944" w:rsidRDefault="00902944" w:rsidP="00902944">
      <w:r>
        <w:separator/>
      </w:r>
    </w:p>
  </w:endnote>
  <w:endnote w:type="continuationSeparator" w:id="0">
    <w:p w:rsidR="00902944" w:rsidRDefault="00902944" w:rsidP="00902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944" w:rsidRDefault="00902944" w:rsidP="00902944">
      <w:r>
        <w:separator/>
      </w:r>
    </w:p>
  </w:footnote>
  <w:footnote w:type="continuationSeparator" w:id="0">
    <w:p w:rsidR="00902944" w:rsidRDefault="00902944" w:rsidP="00902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D2C"/>
    <w:rsid w:val="00714D2C"/>
    <w:rsid w:val="00902944"/>
    <w:rsid w:val="00C55ACD"/>
    <w:rsid w:val="00C717BF"/>
    <w:rsid w:val="00E87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F09F049-AB8B-4B4C-9DB8-23AF8E4A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29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2944"/>
    <w:rPr>
      <w:sz w:val="18"/>
      <w:szCs w:val="18"/>
    </w:rPr>
  </w:style>
  <w:style w:type="paragraph" w:styleId="a4">
    <w:name w:val="footer"/>
    <w:basedOn w:val="a"/>
    <w:link w:val="Char0"/>
    <w:uiPriority w:val="99"/>
    <w:unhideWhenUsed/>
    <w:rsid w:val="00902944"/>
    <w:pPr>
      <w:tabs>
        <w:tab w:val="center" w:pos="4153"/>
        <w:tab w:val="right" w:pos="8306"/>
      </w:tabs>
      <w:snapToGrid w:val="0"/>
      <w:jc w:val="left"/>
    </w:pPr>
    <w:rPr>
      <w:sz w:val="18"/>
      <w:szCs w:val="18"/>
    </w:rPr>
  </w:style>
  <w:style w:type="character" w:customStyle="1" w:styleId="Char0">
    <w:name w:val="页脚 Char"/>
    <w:basedOn w:val="a0"/>
    <w:link w:val="a4"/>
    <w:uiPriority w:val="99"/>
    <w:rsid w:val="009029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689766">
      <w:bodyDiv w:val="1"/>
      <w:marLeft w:val="0"/>
      <w:marRight w:val="0"/>
      <w:marTop w:val="0"/>
      <w:marBottom w:val="0"/>
      <w:divBdr>
        <w:top w:val="none" w:sz="0" w:space="0" w:color="auto"/>
        <w:left w:val="none" w:sz="0" w:space="0" w:color="auto"/>
        <w:bottom w:val="none" w:sz="0" w:space="0" w:color="auto"/>
        <w:right w:val="none" w:sz="0" w:space="0" w:color="auto"/>
      </w:divBdr>
    </w:div>
    <w:div w:id="1597398573">
      <w:bodyDiv w:val="1"/>
      <w:marLeft w:val="0"/>
      <w:marRight w:val="0"/>
      <w:marTop w:val="0"/>
      <w:marBottom w:val="0"/>
      <w:divBdr>
        <w:top w:val="none" w:sz="0" w:space="0" w:color="auto"/>
        <w:left w:val="none" w:sz="0" w:space="0" w:color="auto"/>
        <w:bottom w:val="none" w:sz="0" w:space="0" w:color="auto"/>
        <w:right w:val="none" w:sz="0" w:space="0" w:color="auto"/>
      </w:divBdr>
    </w:div>
    <w:div w:id="167688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506</Words>
  <Characters>2887</Characters>
  <Application>Microsoft Office Word</Application>
  <DocSecurity>0</DocSecurity>
  <Lines>24</Lines>
  <Paragraphs>6</Paragraphs>
  <ScaleCrop>false</ScaleCrop>
  <Company>Microsoft</Company>
  <LinksUpToDate>false</LinksUpToDate>
  <CharactersWithSpaces>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xtsyy</dc:creator>
  <cp:keywords/>
  <dc:description/>
  <cp:lastModifiedBy>周广波</cp:lastModifiedBy>
  <cp:revision>4</cp:revision>
  <dcterms:created xsi:type="dcterms:W3CDTF">2022-05-13T06:01:00Z</dcterms:created>
  <dcterms:modified xsi:type="dcterms:W3CDTF">2022-06-07T06:55:00Z</dcterms:modified>
</cp:coreProperties>
</file>