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黑体" w:hAnsi="黑体" w:eastAsia="黑体"/>
          <w:sz w:val="32"/>
          <w:szCs w:val="32"/>
        </w:rPr>
      </w:pPr>
      <w:r>
        <w:rPr>
          <w:rFonts w:hint="eastAsia" w:ascii="黑体" w:hAnsi="黑体" w:eastAsia="黑体"/>
          <w:sz w:val="32"/>
          <w:szCs w:val="32"/>
        </w:rPr>
        <w:t>附件1</w:t>
      </w:r>
    </w:p>
    <w:p>
      <w:pPr>
        <w:spacing w:line="640" w:lineRule="exact"/>
        <w:rPr>
          <w:rFonts w:ascii="仿宋_GB2312" w:eastAsia="仿宋_GB2312"/>
          <w:sz w:val="32"/>
          <w:szCs w:val="32"/>
        </w:rPr>
      </w:pPr>
    </w:p>
    <w:tbl>
      <w:tblPr>
        <w:tblStyle w:val="4"/>
        <w:tblW w:w="8928" w:type="dxa"/>
        <w:jc w:val="center"/>
        <w:tblLayout w:type="fixed"/>
        <w:tblCellMar>
          <w:top w:w="0" w:type="dxa"/>
          <w:left w:w="108" w:type="dxa"/>
          <w:bottom w:w="0" w:type="dxa"/>
          <w:right w:w="108" w:type="dxa"/>
        </w:tblCellMar>
      </w:tblPr>
      <w:tblGrid>
        <w:gridCol w:w="578"/>
        <w:gridCol w:w="963"/>
        <w:gridCol w:w="1092"/>
        <w:gridCol w:w="718"/>
        <w:gridCol w:w="1114"/>
        <w:gridCol w:w="279"/>
        <w:gridCol w:w="839"/>
        <w:gridCol w:w="837"/>
        <w:gridCol w:w="277"/>
        <w:gridCol w:w="280"/>
        <w:gridCol w:w="416"/>
        <w:gridCol w:w="141"/>
        <w:gridCol w:w="695"/>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pPr>
              <w:widowControl/>
              <w:jc w:val="center"/>
              <w:rPr>
                <w:rFonts w:ascii="宋体" w:hAnsi="宋体" w:cs="宋体"/>
                <w:kern w:val="0"/>
                <w:sz w:val="22"/>
              </w:rPr>
            </w:pPr>
            <w:r>
              <w:rPr>
                <w:rFonts w:hint="eastAsia" w:ascii="宋体" w:hAnsi="宋体" w:cs="宋体"/>
                <w:kern w:val="0"/>
                <w:sz w:val="22"/>
              </w:rPr>
              <w:t>（</w:t>
            </w:r>
            <w:r>
              <w:rPr>
                <w:rFonts w:ascii="宋体" w:hAnsi="宋体" w:cs="宋体"/>
                <w:kern w:val="0"/>
                <w:sz w:val="22"/>
              </w:rPr>
              <w:t>2021</w:t>
            </w:r>
            <w:r>
              <w:rPr>
                <w:rFonts w:hint="eastAsia" w:ascii="宋体" w:hAnsi="宋体" w:cs="宋体"/>
                <w:kern w:val="0"/>
                <w:sz w:val="22"/>
              </w:rPr>
              <w:t>年度）</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市属医院人才培养</w:t>
            </w:r>
          </w:p>
        </w:tc>
      </w:tr>
      <w:tr>
        <w:tblPrEx>
          <w:tblCellMar>
            <w:top w:w="0" w:type="dxa"/>
            <w:left w:w="108" w:type="dxa"/>
            <w:bottom w:w="0" w:type="dxa"/>
            <w:right w:w="108" w:type="dxa"/>
          </w:tblCellMar>
        </w:tblPrEx>
        <w:trPr>
          <w:trHeight w:val="515"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北京市医院管理中心</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首都医科大学附属北京中医医院</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w:t>
            </w:r>
            <w:r>
              <w:rPr>
                <w:rFonts w:ascii="宋体" w:hAnsi="宋体" w:cs="宋体"/>
                <w:kern w:val="0"/>
                <w:sz w:val="18"/>
                <w:szCs w:val="18"/>
              </w:rPr>
              <w:t>负责人</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张涛</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3581901177</w:t>
            </w:r>
          </w:p>
        </w:tc>
      </w:tr>
      <w:tr>
        <w:tblPrEx>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.4</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.4</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2.2364</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w:t>
            </w:r>
            <w:r>
              <w:rPr>
                <w:rFonts w:ascii="宋体" w:hAnsi="宋体" w:cs="宋体"/>
                <w:kern w:val="0"/>
                <w:sz w:val="18"/>
                <w:szCs w:val="18"/>
              </w:rPr>
              <w:t>3.18</w:t>
            </w:r>
            <w:r>
              <w:rPr>
                <w:rFonts w:hint="eastAsia" w:ascii="宋体" w:hAnsi="宋体" w:cs="宋体"/>
                <w:kern w:val="0"/>
                <w:sz w:val="18"/>
                <w:szCs w:val="18"/>
              </w:rPr>
              <w:t>%</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w:t>
            </w:r>
            <w:r>
              <w:rPr>
                <w:rFonts w:ascii="宋体" w:hAnsi="宋体" w:cs="宋体"/>
                <w:kern w:val="0"/>
                <w:sz w:val="18"/>
                <w:szCs w:val="18"/>
              </w:rPr>
              <w:t>.3</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.4</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.4</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2.2364</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w:t>
            </w:r>
            <w:r>
              <w:rPr>
                <w:rFonts w:ascii="宋体" w:hAnsi="宋体" w:cs="宋体"/>
                <w:kern w:val="0"/>
                <w:sz w:val="18"/>
                <w:szCs w:val="18"/>
              </w:rPr>
              <w:t>3.18</w:t>
            </w:r>
            <w:r>
              <w:rPr>
                <w:rFonts w:hint="eastAsia" w:ascii="宋体" w:hAnsi="宋体" w:cs="宋体"/>
                <w:kern w:val="0"/>
                <w:sz w:val="18"/>
                <w:szCs w:val="18"/>
              </w:rPr>
              <w:t>%</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CellMar>
            <w:top w:w="0" w:type="dxa"/>
            <w:left w:w="108" w:type="dxa"/>
            <w:bottom w:w="0" w:type="dxa"/>
            <w:right w:w="108" w:type="dxa"/>
          </w:tblCellMar>
        </w:tblPrEx>
        <w:trPr>
          <w:trHeight w:val="3344"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完成火针治疗轻中度“肾阳亏虚型”良性前列腺增生的临床研究6</w:t>
            </w:r>
            <w:r>
              <w:rPr>
                <w:rFonts w:ascii="宋体" w:hAnsi="宋体" w:cs="宋体"/>
                <w:kern w:val="0"/>
                <w:sz w:val="18"/>
                <w:szCs w:val="18"/>
              </w:rPr>
              <w:t>0</w:t>
            </w:r>
            <w:r>
              <w:rPr>
                <w:rFonts w:hint="eastAsia" w:ascii="宋体" w:hAnsi="宋体" w:cs="宋体"/>
                <w:kern w:val="0"/>
                <w:sz w:val="18"/>
                <w:szCs w:val="18"/>
              </w:rPr>
              <w:t>例，发表SCI或中文核心期刊论文1篇，申报针灸相关专利1项。</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完成火针治疗轻中度“肾阳亏虚型”良性前列腺增生的临床研究</w:t>
            </w:r>
            <w:r>
              <w:rPr>
                <w:rFonts w:ascii="宋体" w:hAnsi="宋体" w:cs="宋体"/>
                <w:kern w:val="0"/>
                <w:sz w:val="18"/>
                <w:szCs w:val="18"/>
              </w:rPr>
              <w:t>50</w:t>
            </w:r>
            <w:r>
              <w:rPr>
                <w:rFonts w:hint="eastAsia" w:ascii="宋体" w:hAnsi="宋体" w:cs="宋体"/>
                <w:kern w:val="0"/>
                <w:sz w:val="18"/>
                <w:szCs w:val="18"/>
              </w:rPr>
              <w:t>例，于2021年9月至2022年9月在首都医科大学宣武医院进修神经内科。2021年度以第一作者发表SCI收录期刊论文1篇、中文核心期刊论文1篇，申报针灸相关实用新型专利2项、发明专利1项，获批针灸相关实用新型专利1项，晋升针灸专业副主任医师职称，取得首都医科大学中医专业临床博士学位，获得首都医科大学讲师资格。入选2022年北京冬（残）奥会医疗保障队，参加相关培训。</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论文撰写数量</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86"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招募患者数量</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r>
              <w:rPr>
                <w:rFonts w:ascii="宋体" w:hAnsi="宋体" w:cs="宋体"/>
                <w:kern w:val="0"/>
                <w:sz w:val="18"/>
                <w:szCs w:val="18"/>
              </w:rPr>
              <w:t>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r>
              <w:rPr>
                <w:rFonts w:ascii="宋体" w:hAnsi="宋体" w:cs="宋体"/>
                <w:kern w:val="0"/>
                <w:sz w:val="18"/>
                <w:szCs w:val="18"/>
              </w:rPr>
              <w:t>.7</w:t>
            </w:r>
          </w:p>
        </w:tc>
        <w:tc>
          <w:tcPr>
            <w:tcW w:w="1394" w:type="dxa"/>
            <w:gridSpan w:val="2"/>
            <w:tcBorders>
              <w:top w:val="single" w:color="auto" w:sz="4" w:space="0"/>
              <w:left w:val="nil"/>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因202</w:t>
            </w:r>
            <w:r>
              <w:rPr>
                <w:rFonts w:ascii="宋体" w:hAnsi="宋体" w:cs="宋体"/>
                <w:kern w:val="0"/>
                <w:sz w:val="18"/>
                <w:szCs w:val="18"/>
              </w:rPr>
              <w:t>1</w:t>
            </w:r>
            <w:r>
              <w:rPr>
                <w:rFonts w:hint="eastAsia" w:ascii="宋体" w:hAnsi="宋体" w:cs="宋体"/>
                <w:kern w:val="0"/>
                <w:sz w:val="18"/>
                <w:szCs w:val="18"/>
              </w:rPr>
              <w:t>年度全国及北京市新冠疫情反复，临床课题研究进展缓慢，受试者招募及随访困难，因疫情防控原因对受试者的临床干预受阻。</w:t>
            </w:r>
          </w:p>
          <w:p>
            <w:pPr>
              <w:widowControl/>
              <w:spacing w:line="240" w:lineRule="exact"/>
              <w:rPr>
                <w:rFonts w:ascii="宋体" w:hAnsi="宋体" w:cs="宋体"/>
                <w:kern w:val="0"/>
                <w:sz w:val="18"/>
                <w:szCs w:val="18"/>
              </w:rPr>
            </w:pPr>
            <w:r>
              <w:rPr>
                <w:rFonts w:hint="eastAsia" w:ascii="宋体" w:hAnsi="宋体" w:cs="宋体"/>
                <w:kern w:val="0"/>
                <w:sz w:val="18"/>
                <w:szCs w:val="18"/>
              </w:rPr>
              <w:t>改进措施：继续进行受试者招募，完成研究。</w:t>
            </w:r>
          </w:p>
        </w:tc>
      </w:tr>
      <w:tr>
        <w:tblPrEx>
          <w:tblCellMar>
            <w:top w:w="0" w:type="dxa"/>
            <w:left w:w="108" w:type="dxa"/>
            <w:bottom w:w="0" w:type="dxa"/>
            <w:right w:w="108" w:type="dxa"/>
          </w:tblCellMar>
        </w:tblPrEx>
        <w:trPr>
          <w:trHeight w:val="73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论文发表标准</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S</w:t>
            </w:r>
            <w:r>
              <w:rPr>
                <w:rFonts w:ascii="宋体" w:hAnsi="宋体" w:cs="宋体"/>
                <w:kern w:val="0"/>
                <w:sz w:val="18"/>
                <w:szCs w:val="18"/>
              </w:rPr>
              <w:t>CI</w:t>
            </w:r>
            <w:r>
              <w:rPr>
                <w:rFonts w:hint="eastAsia" w:ascii="宋体" w:hAnsi="宋体" w:cs="宋体"/>
                <w:kern w:val="0"/>
                <w:sz w:val="18"/>
                <w:szCs w:val="18"/>
              </w:rPr>
              <w:t>或中文核心期刊</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85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课题研究水平</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局级课题研究</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w:t>
            </w:r>
          </w:p>
        </w:tc>
        <w:tc>
          <w:tcPr>
            <w:tcW w:w="1394" w:type="dxa"/>
            <w:gridSpan w:val="2"/>
            <w:tcBorders>
              <w:top w:val="single" w:color="auto" w:sz="4" w:space="0"/>
              <w:left w:val="nil"/>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340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患者招募</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2021年</w:t>
            </w:r>
            <w:r>
              <w:rPr>
                <w:rFonts w:ascii="宋体" w:hAnsi="宋体" w:cs="宋体"/>
                <w:kern w:val="0"/>
                <w:sz w:val="18"/>
                <w:szCs w:val="18"/>
              </w:rPr>
              <w:t>3</w:t>
            </w:r>
            <w:r>
              <w:rPr>
                <w:rFonts w:hint="eastAsia" w:ascii="宋体" w:hAnsi="宋体" w:cs="宋体"/>
                <w:kern w:val="0"/>
                <w:sz w:val="18"/>
                <w:szCs w:val="18"/>
              </w:rPr>
              <w:t>月</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2021年</w:t>
            </w:r>
            <w:r>
              <w:rPr>
                <w:rFonts w:ascii="宋体" w:hAnsi="宋体" w:cs="宋体"/>
                <w:kern w:val="0"/>
                <w:sz w:val="18"/>
                <w:szCs w:val="18"/>
              </w:rPr>
              <w:t>12</w:t>
            </w:r>
            <w:r>
              <w:rPr>
                <w:rFonts w:hint="eastAsia" w:ascii="宋体" w:hAnsi="宋体" w:cs="宋体"/>
                <w:kern w:val="0"/>
                <w:sz w:val="18"/>
                <w:szCs w:val="18"/>
              </w:rPr>
              <w:t>月</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5</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因202</w:t>
            </w:r>
            <w:r>
              <w:rPr>
                <w:rFonts w:ascii="宋体" w:hAnsi="宋体" w:cs="宋体"/>
                <w:kern w:val="0"/>
                <w:sz w:val="18"/>
                <w:szCs w:val="18"/>
              </w:rPr>
              <w:t>1</w:t>
            </w:r>
            <w:r>
              <w:rPr>
                <w:rFonts w:hint="eastAsia" w:ascii="宋体" w:hAnsi="宋体" w:cs="宋体"/>
                <w:kern w:val="0"/>
                <w:sz w:val="18"/>
                <w:szCs w:val="18"/>
              </w:rPr>
              <w:t>年度全国及北京市新冠疫情反复，临床课题研究进展缓慢，受试者招募及随访困难，因疫情防控原因对受试者的临床干预受阻。</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改进措施：继续进行受试者招募，完成研究。</w:t>
            </w:r>
          </w:p>
        </w:tc>
      </w:tr>
      <w:tr>
        <w:tblPrEx>
          <w:tblCellMar>
            <w:top w:w="0" w:type="dxa"/>
            <w:left w:w="108" w:type="dxa"/>
            <w:bottom w:w="0" w:type="dxa"/>
            <w:right w:w="108" w:type="dxa"/>
          </w:tblCellMar>
        </w:tblPrEx>
        <w:trPr>
          <w:trHeight w:val="340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研究干预和随访</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2021年</w:t>
            </w:r>
            <w:r>
              <w:rPr>
                <w:rFonts w:ascii="宋体" w:hAnsi="宋体" w:cs="宋体"/>
                <w:kern w:val="0"/>
                <w:sz w:val="18"/>
                <w:szCs w:val="18"/>
              </w:rPr>
              <w:t>6</w:t>
            </w:r>
            <w:r>
              <w:rPr>
                <w:rFonts w:hint="eastAsia" w:ascii="宋体" w:hAnsi="宋体" w:cs="宋体"/>
                <w:kern w:val="0"/>
                <w:sz w:val="18"/>
                <w:szCs w:val="18"/>
              </w:rPr>
              <w:t>月</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2021年12月</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3</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因202</w:t>
            </w:r>
            <w:r>
              <w:rPr>
                <w:rFonts w:ascii="宋体" w:hAnsi="宋体" w:cs="宋体"/>
                <w:kern w:val="0"/>
                <w:sz w:val="18"/>
                <w:szCs w:val="18"/>
              </w:rPr>
              <w:t>1</w:t>
            </w:r>
            <w:r>
              <w:rPr>
                <w:rFonts w:hint="eastAsia" w:ascii="宋体" w:hAnsi="宋体" w:cs="宋体"/>
                <w:kern w:val="0"/>
                <w:sz w:val="18"/>
                <w:szCs w:val="18"/>
              </w:rPr>
              <w:t>年度全国及北京市新冠疫情反复，临床课题研究进展缓慢，受试者招募及随访困难，因疫情防控原因对受试者的临床干预受阻。</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改进措施：继续进行受试者招募，完成研究。</w:t>
            </w:r>
          </w:p>
        </w:tc>
      </w:tr>
      <w:tr>
        <w:tblPrEx>
          <w:tblCellMar>
            <w:top w:w="0" w:type="dxa"/>
            <w:left w:w="108" w:type="dxa"/>
            <w:bottom w:w="0" w:type="dxa"/>
            <w:right w:w="108" w:type="dxa"/>
          </w:tblCellMar>
        </w:tblPrEx>
        <w:trPr>
          <w:trHeight w:val="58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数据分析及报告撰写</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2021年12月</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2021年12月</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1250"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2111" w:type="dxa"/>
            <w:gridSpan w:val="3"/>
            <w:tcBorders>
              <w:top w:val="single" w:color="auto" w:sz="4" w:space="0"/>
              <w:left w:val="nil"/>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控制在预算范围</w:t>
            </w:r>
          </w:p>
        </w:tc>
        <w:tc>
          <w:tcPr>
            <w:tcW w:w="839" w:type="dxa"/>
            <w:tcBorders>
              <w:top w:val="nil"/>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ascii="宋体" w:hAnsi="宋体" w:cs="宋体"/>
                <w:color w:val="000000"/>
                <w:kern w:val="0"/>
                <w:sz w:val="18"/>
                <w:szCs w:val="18"/>
              </w:rPr>
              <w:t>0</w:t>
            </w:r>
            <w:r>
              <w:rPr>
                <w:rFonts w:hint="eastAsia" w:ascii="宋体" w:hAnsi="宋体" w:cs="宋体"/>
                <w:color w:val="000000"/>
                <w:kern w:val="0"/>
                <w:sz w:val="18"/>
                <w:szCs w:val="18"/>
              </w:rPr>
              <w:t>.4万元财政资金+2.4万元自有资金</w:t>
            </w:r>
            <w:r>
              <w:rPr>
                <w:rFonts w:hint="eastAsia" w:ascii="宋体" w:hAnsi="宋体" w:cs="宋体"/>
                <w:color w:val="000000"/>
                <w:kern w:val="0"/>
                <w:sz w:val="18"/>
                <w:szCs w:val="18"/>
              </w:rPr>
              <w:tab/>
            </w:r>
          </w:p>
        </w:tc>
        <w:tc>
          <w:tcPr>
            <w:tcW w:w="837" w:type="dxa"/>
            <w:tcBorders>
              <w:top w:val="nil"/>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ascii="宋体" w:hAnsi="宋体" w:cs="宋体"/>
                <w:kern w:val="0"/>
                <w:sz w:val="18"/>
                <w:szCs w:val="18"/>
              </w:rPr>
              <w:t>2.2364</w:t>
            </w:r>
            <w:r>
              <w:rPr>
                <w:rFonts w:hint="eastAsia" w:ascii="宋体" w:hAnsi="宋体" w:cs="宋体"/>
                <w:kern w:val="0"/>
                <w:sz w:val="18"/>
                <w:szCs w:val="18"/>
              </w:rPr>
              <w:t>万</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w:t>
            </w:r>
          </w:p>
        </w:tc>
        <w:tc>
          <w:tcPr>
            <w:tcW w:w="1394" w:type="dxa"/>
            <w:gridSpan w:val="2"/>
            <w:tcBorders>
              <w:top w:val="single" w:color="auto" w:sz="4" w:space="0"/>
              <w:left w:val="nil"/>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5040"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1092" w:type="dxa"/>
            <w:tcBorders>
              <w:top w:val="nil"/>
              <w:left w:val="single" w:color="auto" w:sz="4" w:space="0"/>
              <w:right w:val="single" w:color="auto" w:sz="4" w:space="0"/>
            </w:tcBorders>
            <w:vAlign w:val="center"/>
          </w:tcPr>
          <w:p>
            <w:pPr>
              <w:spacing w:line="240" w:lineRule="exact"/>
              <w:jc w:val="center"/>
              <w:rPr>
                <w:rFonts w:ascii="宋体" w:hAnsi="宋体" w:cs="宋体"/>
                <w:kern w:val="0"/>
                <w:sz w:val="18"/>
                <w:szCs w:val="18"/>
              </w:rPr>
            </w:pPr>
            <w:r>
              <w:rPr>
                <w:rFonts w:hint="eastAsia" w:ascii="宋体" w:hAnsi="宋体" w:cs="宋体"/>
                <w:kern w:val="0"/>
                <w:sz w:val="18"/>
                <w:szCs w:val="18"/>
              </w:rPr>
              <w:t>可持续影响指标</w:t>
            </w:r>
          </w:p>
        </w:tc>
        <w:tc>
          <w:tcPr>
            <w:tcW w:w="2111" w:type="dxa"/>
            <w:gridSpan w:val="3"/>
            <w:tcBorders>
              <w:top w:val="single" w:color="auto" w:sz="4" w:space="0"/>
              <w:left w:val="nil"/>
              <w:right w:val="single" w:color="auto" w:sz="4" w:space="0"/>
            </w:tcBorders>
            <w:vAlign w:val="center"/>
          </w:tcPr>
          <w:p>
            <w:pPr>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火针治疗轻中度“肾阳亏虚型”良性前列腺增生的临床研究</w:t>
            </w:r>
          </w:p>
        </w:tc>
        <w:tc>
          <w:tcPr>
            <w:tcW w:w="839" w:type="dxa"/>
            <w:tcBorders>
              <w:top w:val="single" w:color="auto" w:sz="4" w:space="0"/>
              <w:left w:val="nil"/>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形成结题报告1份，发表学术论文1篇，申报针灸相关专利1项</w:t>
            </w:r>
          </w:p>
        </w:tc>
        <w:tc>
          <w:tcPr>
            <w:tcW w:w="837" w:type="dxa"/>
            <w:tcBorders>
              <w:top w:val="single" w:color="auto" w:sz="4" w:space="0"/>
              <w:left w:val="nil"/>
              <w:right w:val="single" w:color="auto" w:sz="4" w:space="0"/>
            </w:tcBorders>
            <w:vAlign w:val="center"/>
          </w:tcPr>
          <w:p>
            <w:pPr>
              <w:spacing w:line="240" w:lineRule="exact"/>
              <w:jc w:val="left"/>
              <w:rPr>
                <w:rFonts w:ascii="宋体" w:hAnsi="宋体" w:cs="宋体"/>
                <w:kern w:val="0"/>
                <w:sz w:val="18"/>
                <w:szCs w:val="18"/>
              </w:rPr>
            </w:pPr>
            <w:r>
              <w:rPr>
                <w:rFonts w:hint="eastAsia" w:ascii="宋体" w:hAnsi="宋体" w:cs="宋体"/>
                <w:kern w:val="0"/>
                <w:sz w:val="18"/>
                <w:szCs w:val="18"/>
              </w:rPr>
              <w:t>发表SCI收录期刊论文1篇、中文核心期刊论文1篇，申报针灸相关实用新型专利2项、发明专利1项，获批针灸相关实用新型专利1项</w:t>
            </w:r>
          </w:p>
        </w:tc>
        <w:tc>
          <w:tcPr>
            <w:tcW w:w="557" w:type="dxa"/>
            <w:gridSpan w:val="2"/>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15</w:t>
            </w:r>
          </w:p>
        </w:tc>
        <w:tc>
          <w:tcPr>
            <w:tcW w:w="557" w:type="dxa"/>
            <w:gridSpan w:val="2"/>
            <w:tcBorders>
              <w:top w:val="single" w:color="auto" w:sz="4" w:space="0"/>
              <w:left w:val="nil"/>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rPr>
              <w:t xml:space="preserve"> </w:t>
            </w:r>
            <w:r>
              <w:rPr>
                <w:rFonts w:hint="eastAsia" w:ascii="宋体" w:hAnsi="宋体" w:cs="宋体"/>
                <w:kern w:val="0"/>
                <w:sz w:val="18"/>
                <w:szCs w:val="18"/>
                <w:lang w:val="en-US" w:eastAsia="zh-CN"/>
              </w:rPr>
              <w:t>15</w:t>
            </w:r>
          </w:p>
        </w:tc>
        <w:tc>
          <w:tcPr>
            <w:tcW w:w="1394" w:type="dxa"/>
            <w:gridSpan w:val="2"/>
            <w:tcBorders>
              <w:top w:val="single" w:color="auto" w:sz="4" w:space="0"/>
              <w:left w:val="nil"/>
              <w:right w:val="single" w:color="auto" w:sz="4" w:space="0"/>
            </w:tcBorders>
            <w:vAlign w:val="center"/>
          </w:tcPr>
          <w:p>
            <w:pPr>
              <w:spacing w:line="240" w:lineRule="exact"/>
              <w:jc w:val="center"/>
              <w:rPr>
                <w:rFonts w:ascii="宋体" w:hAnsi="宋体" w:cs="宋体"/>
                <w:kern w:val="0"/>
                <w:sz w:val="18"/>
                <w:szCs w:val="18"/>
              </w:rPr>
            </w:pPr>
            <w:r>
              <w:rPr>
                <w:rFonts w:ascii="宋体" w:hAnsi="宋体" w:cs="宋体"/>
                <w:kern w:val="0"/>
                <w:sz w:val="18"/>
                <w:szCs w:val="18"/>
              </w:rPr>
              <w:t xml:space="preserve"> </w:t>
            </w:r>
            <w:r>
              <w:rPr>
                <w:rFonts w:hint="eastAsia" w:ascii="宋体" w:hAnsi="宋体" w:cs="宋体"/>
                <w:kern w:val="0"/>
                <w:sz w:val="18"/>
                <w:szCs w:val="18"/>
              </w:rPr>
              <w:t xml:space="preserve"> -</w:t>
            </w:r>
          </w:p>
        </w:tc>
      </w:tr>
      <w:tr>
        <w:tblPrEx>
          <w:tblCellMar>
            <w:top w:w="0" w:type="dxa"/>
            <w:left w:w="108" w:type="dxa"/>
            <w:bottom w:w="0" w:type="dxa"/>
            <w:right w:w="108" w:type="dxa"/>
          </w:tblCellMar>
        </w:tblPrEx>
        <w:trPr>
          <w:trHeight w:val="86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2111" w:type="dxa"/>
            <w:gridSpan w:val="3"/>
            <w:tcBorders>
              <w:top w:val="single" w:color="auto" w:sz="4" w:space="0"/>
              <w:left w:val="nil"/>
              <w:right w:val="single" w:color="auto" w:sz="4" w:space="0"/>
            </w:tcBorders>
            <w:vAlign w:val="center"/>
          </w:tcPr>
          <w:p>
            <w:pPr>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轻中度良性前列腺增生症患者满意度调查</w:t>
            </w:r>
          </w:p>
        </w:tc>
        <w:tc>
          <w:tcPr>
            <w:tcW w:w="839" w:type="dxa"/>
            <w:tcBorders>
              <w:top w:val="single" w:color="auto" w:sz="4" w:space="0"/>
              <w:left w:val="nil"/>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通过研究调查轻中度良性前列腺增生症患者对火针治疗的满意度总体不低于80%</w:t>
            </w:r>
          </w:p>
        </w:tc>
        <w:tc>
          <w:tcPr>
            <w:tcW w:w="837" w:type="dxa"/>
            <w:tcBorders>
              <w:top w:val="single" w:color="auto" w:sz="4" w:space="0"/>
              <w:left w:val="nil"/>
              <w:right w:val="single" w:color="auto" w:sz="4" w:space="0"/>
            </w:tcBorders>
            <w:vAlign w:val="center"/>
          </w:tcPr>
          <w:p>
            <w:pPr>
              <w:spacing w:line="240" w:lineRule="exact"/>
              <w:jc w:val="center"/>
              <w:rPr>
                <w:rFonts w:ascii="宋体" w:hAnsi="宋体" w:cs="宋体"/>
                <w:kern w:val="0"/>
                <w:sz w:val="18"/>
                <w:szCs w:val="18"/>
              </w:rPr>
            </w:pPr>
            <w:r>
              <w:rPr>
                <w:rFonts w:hint="eastAsia" w:ascii="宋体" w:hAnsi="宋体" w:cs="宋体"/>
                <w:kern w:val="0"/>
                <w:sz w:val="18"/>
                <w:szCs w:val="18"/>
              </w:rPr>
              <w:t>满意度90%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w:t>
            </w:r>
            <w:r>
              <w:rPr>
                <w:rFonts w:hint="eastAsia" w:ascii="宋体" w:hAnsi="宋体" w:cs="宋体"/>
                <w:kern w:val="0"/>
                <w:sz w:val="18"/>
                <w:szCs w:val="18"/>
              </w:rPr>
              <w:t xml:space="preserve"> </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w:t>
            </w:r>
            <w:r>
              <w:rPr>
                <w:rFonts w:ascii="宋体" w:hAnsi="宋体" w:cs="宋体"/>
                <w:kern w:val="0"/>
                <w:sz w:val="18"/>
                <w:szCs w:val="18"/>
              </w:rPr>
              <w:t>10</w:t>
            </w:r>
          </w:p>
        </w:tc>
        <w:tc>
          <w:tcPr>
            <w:tcW w:w="1394" w:type="dxa"/>
            <w:gridSpan w:val="2"/>
            <w:tcBorders>
              <w:top w:val="single" w:color="auto" w:sz="4" w:space="0"/>
              <w:left w:val="nil"/>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w:t>
            </w:r>
          </w:p>
        </w:tc>
      </w:tr>
      <w:tr>
        <w:tblPrEx>
          <w:tblCellMar>
            <w:top w:w="0" w:type="dxa"/>
            <w:left w:w="108" w:type="dxa"/>
            <w:bottom w:w="0" w:type="dxa"/>
            <w:right w:w="108" w:type="dxa"/>
          </w:tblCellMar>
        </w:tblPrEx>
        <w:trPr>
          <w:trHeight w:val="525" w:hRule="exac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91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bl>
    <w:p>
      <w:pPr>
        <w:rPr>
          <w:rFonts w:hint="eastAsia" w:ascii="黑体" w:hAnsi="黑体" w:eastAsia="黑体"/>
        </w:rPr>
        <w:sectPr>
          <w:footerReference r:id="rId5" w:type="first"/>
          <w:footerReference r:id="rId3" w:type="default"/>
          <w:footerReference r:id="rId4" w:type="even"/>
          <w:pgSz w:w="11906" w:h="16838"/>
          <w:pgMar w:top="1911" w:right="1474" w:bottom="1882" w:left="1588" w:header="737" w:footer="851" w:gutter="0"/>
          <w:pgNumType w:fmt="numberInDash"/>
          <w:cols w:space="720" w:num="1"/>
          <w:docGrid w:type="lines" w:linePitch="408" w:charSpace="0"/>
        </w:sectPr>
      </w:pPr>
      <w:bookmarkStart w:id="0" w:name="_GoBack"/>
      <w:bookmarkEnd w:id="0"/>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18</w:t>
    </w:r>
    <w:r>
      <w:rPr>
        <w:rFonts w:ascii="宋体" w:hAnsi="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rPr>
        <w:lang w:val="zh-CN"/>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23C5"/>
    <w:rsid w:val="0005505F"/>
    <w:rsid w:val="00081776"/>
    <w:rsid w:val="000D6CE1"/>
    <w:rsid w:val="000F2030"/>
    <w:rsid w:val="0018423A"/>
    <w:rsid w:val="001A4621"/>
    <w:rsid w:val="001D7D6A"/>
    <w:rsid w:val="0024334C"/>
    <w:rsid w:val="00251835"/>
    <w:rsid w:val="005174DB"/>
    <w:rsid w:val="0062138C"/>
    <w:rsid w:val="00630031"/>
    <w:rsid w:val="00686571"/>
    <w:rsid w:val="00707C6D"/>
    <w:rsid w:val="007C7C67"/>
    <w:rsid w:val="00806B4A"/>
    <w:rsid w:val="00854CE9"/>
    <w:rsid w:val="00975C93"/>
    <w:rsid w:val="009D3A17"/>
    <w:rsid w:val="00A067E5"/>
    <w:rsid w:val="00B41656"/>
    <w:rsid w:val="00B84434"/>
    <w:rsid w:val="00B932CD"/>
    <w:rsid w:val="00BF23C5"/>
    <w:rsid w:val="00BF60A3"/>
    <w:rsid w:val="00C04B12"/>
    <w:rsid w:val="00C24417"/>
    <w:rsid w:val="00CB394D"/>
    <w:rsid w:val="00E1774D"/>
    <w:rsid w:val="00E5278B"/>
    <w:rsid w:val="00EE0DCE"/>
    <w:rsid w:val="00EE3054"/>
    <w:rsid w:val="00F22B2A"/>
    <w:rsid w:val="00F57F55"/>
    <w:rsid w:val="00F84315"/>
    <w:rsid w:val="00F9555E"/>
    <w:rsid w:val="00FB0ADC"/>
    <w:rsid w:val="00FE0A67"/>
    <w:rsid w:val="73F85C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字符"/>
    <w:basedOn w:val="5"/>
    <w:link w:val="2"/>
    <w:uiPriority w:val="99"/>
    <w:rPr>
      <w:rFonts w:ascii="Times New Roman" w:hAnsi="Times New Roman" w:eastAsia="宋体" w:cs="Times New Roman"/>
      <w:sz w:val="18"/>
      <w:szCs w:val="18"/>
    </w:rPr>
  </w:style>
  <w:style w:type="character" w:customStyle="1" w:styleId="7">
    <w:name w:val="页眉 字符"/>
    <w:basedOn w:val="5"/>
    <w:link w:val="3"/>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1053</Words>
  <Characters>1187</Characters>
  <Lines>9</Lines>
  <Paragraphs>2</Paragraphs>
  <TotalTime>114</TotalTime>
  <ScaleCrop>false</ScaleCrop>
  <LinksUpToDate>false</LinksUpToDate>
  <CharactersWithSpaces>1202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2022-04-08T01:21:00Z</dcterms:created>
  <dc:creator>Administrator</dc:creator>
  <cp:lastModifiedBy>fzdmark</cp:lastModifiedBy>
  <dcterms:modified xsi:type="dcterms:W3CDTF">2022-04-22T01:44:12Z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506ED9BC7B3941A5A1FB01ECB2BEF0B6</vt:lpwstr>
  </property>
</Properties>
</file>