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sz w:val="32"/>
          <w:szCs w:val="32"/>
        </w:rPr>
      </w:pPr>
      <w:r>
        <w:rPr>
          <w:rFonts w:hint="eastAsia" w:ascii="黑体" w:hAnsi="黑体" w:eastAsia="黑体"/>
          <w:sz w:val="32"/>
          <w:szCs w:val="32"/>
        </w:rPr>
        <w:t>附件1</w:t>
      </w:r>
    </w:p>
    <w:p>
      <w:pPr>
        <w:spacing w:line="640" w:lineRule="exact"/>
        <w:rPr>
          <w:rFonts w:ascii="仿宋_GB2312" w:eastAsia="仿宋_GB2312"/>
          <w:sz w:val="32"/>
          <w:szCs w:val="32"/>
        </w:rPr>
      </w:pPr>
    </w:p>
    <w:tbl>
      <w:tblPr>
        <w:tblStyle w:val="4"/>
        <w:tblW w:w="9209"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933"/>
        <w:gridCol w:w="181"/>
        <w:gridCol w:w="528"/>
        <w:gridCol w:w="168"/>
        <w:gridCol w:w="540"/>
        <w:gridCol w:w="296"/>
        <w:gridCol w:w="980"/>
      </w:tblGrid>
      <w:tr>
        <w:tblPrEx>
          <w:tblCellMar>
            <w:top w:w="0" w:type="dxa"/>
            <w:left w:w="108" w:type="dxa"/>
            <w:bottom w:w="0" w:type="dxa"/>
            <w:right w:w="108" w:type="dxa"/>
          </w:tblCellMar>
        </w:tblPrEx>
        <w:trPr>
          <w:trHeight w:val="440" w:hRule="exact"/>
          <w:jc w:val="center"/>
        </w:trPr>
        <w:tc>
          <w:tcPr>
            <w:tcW w:w="9209" w:type="dxa"/>
            <w:gridSpan w:val="14"/>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9209" w:type="dxa"/>
            <w:gridSpan w:val="14"/>
            <w:tcBorders>
              <w:top w:val="nil"/>
              <w:left w:val="nil"/>
              <w:bottom w:val="nil"/>
              <w:right w:val="nil"/>
            </w:tcBorders>
          </w:tcPr>
          <w:p>
            <w:pPr>
              <w:widowControl/>
              <w:jc w:val="center"/>
              <w:rPr>
                <w:rFonts w:ascii="宋体" w:hAnsi="宋体" w:cs="宋体"/>
                <w:kern w:val="0"/>
                <w:sz w:val="22"/>
              </w:rPr>
            </w:pPr>
            <w:r>
              <w:rPr>
                <w:rFonts w:hint="eastAsia" w:ascii="宋体" w:hAnsi="宋体" w:cs="宋体"/>
                <w:kern w:val="0"/>
                <w:sz w:val="22"/>
              </w:rPr>
              <w:t xml:space="preserve">（ </w:t>
            </w:r>
            <w:r>
              <w:rPr>
                <w:rFonts w:ascii="宋体" w:hAnsi="宋体" w:cs="宋体"/>
                <w:kern w:val="0"/>
                <w:sz w:val="22"/>
              </w:rPr>
              <w:t>2021</w:t>
            </w:r>
            <w:r>
              <w:rPr>
                <w:rFonts w:hint="eastAsia" w:ascii="宋体" w:hAnsi="宋体" w:cs="宋体"/>
                <w:kern w:val="0"/>
                <w:sz w:val="22"/>
              </w:rPr>
              <w:t>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668"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市属医院学科发展</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北京市医院管理中心</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51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北京中医医院</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刘宝利</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51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87906835</w:t>
            </w:r>
          </w:p>
        </w:tc>
      </w:tr>
      <w:tr>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62.1</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62.1</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53.3969</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85.96</w:t>
            </w:r>
            <w:r>
              <w:rPr>
                <w:rFonts w:hint="eastAsia" w:ascii="宋体" w:hAnsi="宋体" w:cs="宋体"/>
                <w:kern w:val="0"/>
                <w:sz w:val="18"/>
                <w:szCs w:val="18"/>
              </w:rPr>
              <w:t>%</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8.6</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62.1</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62.1</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626"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8245"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李彬：</w:t>
            </w:r>
            <w:r>
              <w:rPr>
                <w:rFonts w:ascii="宋体" w:hAnsi="宋体" w:cs="宋体"/>
                <w:kern w:val="0"/>
                <w:sz w:val="18"/>
                <w:szCs w:val="18"/>
              </w:rPr>
              <w:t>按计划运行中西医结合早期康复卒中单元模式，完成管理制度、人员培训、硬件设施等工作；完成手机APP“返璞归针”</w:t>
            </w:r>
            <w:r>
              <w:rPr>
                <w:rFonts w:hint="eastAsia" w:ascii="宋体" w:hAnsi="宋体" w:cs="宋体"/>
                <w:kern w:val="0"/>
                <w:sz w:val="18"/>
                <w:szCs w:val="18"/>
              </w:rPr>
              <w:t>二级预防缺血性卒中</w:t>
            </w:r>
            <w:r>
              <w:rPr>
                <w:rFonts w:ascii="宋体" w:hAnsi="宋体" w:cs="宋体"/>
                <w:kern w:val="0"/>
                <w:sz w:val="18"/>
                <w:szCs w:val="18"/>
              </w:rPr>
              <w:t>模块。在以上平台上，按计划开展</w:t>
            </w:r>
            <w:r>
              <w:rPr>
                <w:rFonts w:hint="eastAsia" w:ascii="宋体" w:hAnsi="宋体" w:cs="宋体"/>
                <w:kern w:val="0"/>
                <w:sz w:val="18"/>
                <w:szCs w:val="18"/>
              </w:rPr>
              <w:t>针药结合干预缺血性卒中注册登记研究</w:t>
            </w:r>
            <w:r>
              <w:rPr>
                <w:rFonts w:ascii="宋体" w:hAnsi="宋体" w:cs="宋体"/>
                <w:kern w:val="0"/>
                <w:sz w:val="18"/>
                <w:szCs w:val="18"/>
              </w:rPr>
              <w:t>；申报国家级课题1-2项，省部级科研项目1-2项；发表SCI文章1-2篇，国内核心期刊论文5-8篇；申报博士生导师1-2人、硕士生导师2-3人。培养在读博士1-2名；培养全国老中医药专家学术继承人1-3人；申报中国科协青年人才托举工程项目扶持人才1人；申报北京市科技新星1-2人；申报北京市医管局“青苗计划”1-3人。召开国家级继续教育项目1次、北京市级继续教育项目1次。帮扶小汤山医院申报局级及以上科研项目1-2项，国内核心期刊论文2-4篇</w:t>
            </w:r>
            <w:r>
              <w:rPr>
                <w:rFonts w:hint="eastAsia" w:ascii="宋体" w:hAnsi="宋体" w:cs="宋体"/>
                <w:kern w:val="0"/>
                <w:sz w:val="18"/>
                <w:szCs w:val="18"/>
              </w:rPr>
              <w:t>，</w:t>
            </w:r>
            <w:r>
              <w:rPr>
                <w:rFonts w:ascii="宋体" w:hAnsi="宋体" w:cs="宋体"/>
                <w:kern w:val="0"/>
                <w:sz w:val="18"/>
                <w:szCs w:val="18"/>
              </w:rPr>
              <w:t>申报全国老中医药专家学术继承人1人，北京市医管局“青苗计划”1人。</w:t>
            </w:r>
          </w:p>
          <w:p>
            <w:pPr>
              <w:widowControl/>
              <w:spacing w:line="240" w:lineRule="exact"/>
              <w:rPr>
                <w:rFonts w:ascii="宋体" w:hAnsi="宋体" w:cs="宋体"/>
                <w:kern w:val="0"/>
                <w:sz w:val="18"/>
                <w:szCs w:val="18"/>
              </w:rPr>
            </w:pPr>
            <w:r>
              <w:rPr>
                <w:rFonts w:hint="eastAsia" w:ascii="宋体" w:hAnsi="宋体" w:cs="宋体"/>
                <w:kern w:val="0"/>
                <w:sz w:val="18"/>
                <w:szCs w:val="18"/>
              </w:rPr>
              <w:t>李萍</w:t>
            </w:r>
            <w:r>
              <w:rPr>
                <w:rFonts w:ascii="宋体" w:hAnsi="宋体" w:cs="宋体"/>
                <w:kern w:val="0"/>
                <w:sz w:val="18"/>
                <w:szCs w:val="18"/>
              </w:rPr>
              <w:t>：</w:t>
            </w:r>
            <w:r>
              <w:rPr>
                <w:rFonts w:hint="eastAsia" w:ascii="宋体" w:hAnsi="宋体" w:cs="宋体"/>
                <w:kern w:val="0"/>
                <w:sz w:val="18"/>
                <w:szCs w:val="18"/>
              </w:rPr>
              <w:t>本项目旨在基于银屑病皮肤角质形成细胞增殖，CD44高表达的特性，设计一种具有“速释-靶向-长效”的新型药物透皮给药载体，兼备纳米晶和凝胶剂的双重优势，旨在增加靛玉红的经皮渗透量和皮肤滞留量，提高其经皮给药生物利用度，精准靶向递送中药有效组分银屑病增殖的表皮细胞，并初步评价新型递药系统的稳定性和给药精准性。</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周冬梅</w:t>
            </w:r>
            <w:r>
              <w:rPr>
                <w:rFonts w:ascii="宋体" w:hAnsi="宋体" w:cs="宋体"/>
                <w:kern w:val="0"/>
                <w:sz w:val="18"/>
                <w:szCs w:val="18"/>
              </w:rPr>
              <w:t>：</w:t>
            </w:r>
            <w:r>
              <w:rPr>
                <w:rFonts w:hint="eastAsia" w:ascii="宋体" w:hAnsi="宋体" w:cs="宋体"/>
                <w:kern w:val="0"/>
                <w:sz w:val="18"/>
                <w:szCs w:val="18"/>
              </w:rPr>
              <w:t>（1）建立专家团队，召开方案实施论证会，细化银屑病“从血论治”辨治优化具体实施方案，纳入20家研究合作单位，完成预备推广准备工作；</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（2）《寻常型银屑病中医药循证实践指南》修订会议，发表指南相关论文1-2篇；</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（3）召开《中医药与生物制剂联合应用治疗斑块状银屑病的指南（专家共识）》学术研讨会；</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（4）启动在京津冀地区15家包括中医、中西医结合、西医在内的单位开展中医药治疗寻常型银屑病的延缓复发的多中心前瞻性评价研究；</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（5）启动外用中药开发研究；</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（6）培训专业骨干2-3人，围绕皮肤科亚专业方向在研承担国家级课题1-2项，市级、局级课题5-8项；</w:t>
            </w:r>
          </w:p>
          <w:p>
            <w:pPr>
              <w:widowControl/>
              <w:spacing w:line="240" w:lineRule="exact"/>
              <w:rPr>
                <w:rFonts w:hint="eastAsia" w:ascii="宋体" w:hAnsi="宋体" w:cs="宋体"/>
                <w:kern w:val="0"/>
                <w:sz w:val="18"/>
                <w:szCs w:val="18"/>
              </w:rPr>
            </w:pPr>
          </w:p>
        </w:tc>
        <w:tc>
          <w:tcPr>
            <w:tcW w:w="3626" w:type="dxa"/>
            <w:gridSpan w:val="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李彬</w:t>
            </w:r>
            <w:r>
              <w:rPr>
                <w:rFonts w:ascii="宋体" w:hAnsi="宋体" w:cs="宋体"/>
                <w:kern w:val="0"/>
                <w:sz w:val="18"/>
                <w:szCs w:val="18"/>
              </w:rPr>
              <w:t>：</w:t>
            </w:r>
            <w:r>
              <w:rPr>
                <w:rFonts w:hint="eastAsia" w:ascii="宋体" w:hAnsi="宋体" w:cs="宋体"/>
                <w:kern w:val="0"/>
                <w:sz w:val="18"/>
                <w:szCs w:val="18"/>
              </w:rPr>
              <w:t>已</w:t>
            </w:r>
            <w:r>
              <w:rPr>
                <w:rFonts w:ascii="宋体" w:hAnsi="宋体" w:cs="宋体"/>
                <w:kern w:val="0"/>
                <w:sz w:val="18"/>
                <w:szCs w:val="18"/>
              </w:rPr>
              <w:t>完成手机APP“返璞归针”</w:t>
            </w:r>
            <w:r>
              <w:rPr>
                <w:rFonts w:hint="eastAsia" w:ascii="宋体" w:hAnsi="宋体" w:cs="宋体"/>
                <w:kern w:val="0"/>
                <w:sz w:val="18"/>
                <w:szCs w:val="18"/>
              </w:rPr>
              <w:t>二级预防缺血性卒中</w:t>
            </w:r>
            <w:r>
              <w:rPr>
                <w:rFonts w:ascii="宋体" w:hAnsi="宋体" w:cs="宋体"/>
                <w:kern w:val="0"/>
                <w:sz w:val="18"/>
                <w:szCs w:val="18"/>
              </w:rPr>
              <w:t>模块</w:t>
            </w:r>
            <w:r>
              <w:rPr>
                <w:rFonts w:hint="eastAsia" w:ascii="宋体" w:hAnsi="宋体" w:cs="宋体"/>
                <w:kern w:val="0"/>
                <w:sz w:val="18"/>
                <w:szCs w:val="18"/>
              </w:rPr>
              <w:t>建设，开展了多种中医疗法干预缺血性卒中的临床诊疗注册登记研究，搭建脑血管病信息平台，截止2</w:t>
            </w:r>
            <w:r>
              <w:rPr>
                <w:rFonts w:ascii="宋体" w:hAnsi="宋体" w:cs="宋体"/>
                <w:kern w:val="0"/>
                <w:sz w:val="18"/>
                <w:szCs w:val="18"/>
              </w:rPr>
              <w:t>021</w:t>
            </w:r>
            <w:r>
              <w:rPr>
                <w:rFonts w:hint="eastAsia" w:ascii="宋体" w:hAnsi="宋体" w:cs="宋体"/>
                <w:kern w:val="0"/>
                <w:sz w:val="18"/>
                <w:szCs w:val="18"/>
              </w:rPr>
              <w:t>年1</w:t>
            </w:r>
            <w:r>
              <w:rPr>
                <w:rFonts w:ascii="宋体" w:hAnsi="宋体" w:cs="宋体"/>
                <w:kern w:val="0"/>
                <w:sz w:val="18"/>
                <w:szCs w:val="18"/>
              </w:rPr>
              <w:t>2</w:t>
            </w:r>
            <w:r>
              <w:rPr>
                <w:rFonts w:hint="eastAsia" w:ascii="宋体" w:hAnsi="宋体" w:cs="宋体"/>
                <w:kern w:val="0"/>
                <w:sz w:val="18"/>
                <w:szCs w:val="18"/>
              </w:rPr>
              <w:t>月底北京中医医院与北京小汤山医院纳入队列的患者达</w:t>
            </w:r>
            <w:r>
              <w:rPr>
                <w:rFonts w:ascii="宋体" w:hAnsi="宋体" w:cs="宋体"/>
                <w:kern w:val="0"/>
                <w:sz w:val="18"/>
                <w:szCs w:val="18"/>
              </w:rPr>
              <w:t>397</w:t>
            </w:r>
            <w:r>
              <w:rPr>
                <w:rFonts w:hint="eastAsia" w:ascii="宋体" w:hAnsi="宋体" w:cs="宋体"/>
                <w:kern w:val="0"/>
                <w:sz w:val="18"/>
                <w:szCs w:val="18"/>
              </w:rPr>
              <w:t>人。2021年新立项国家级课题2项，省部级课题 1项。2021年发表中文文章</w:t>
            </w:r>
            <w:r>
              <w:rPr>
                <w:rFonts w:ascii="宋体" w:hAnsi="宋体" w:cs="宋体"/>
                <w:kern w:val="0"/>
                <w:sz w:val="18"/>
                <w:szCs w:val="18"/>
              </w:rPr>
              <w:t>8</w:t>
            </w:r>
            <w:r>
              <w:rPr>
                <w:rFonts w:hint="eastAsia" w:ascii="宋体" w:hAnsi="宋体" w:cs="宋体"/>
                <w:kern w:val="0"/>
                <w:sz w:val="18"/>
                <w:szCs w:val="18"/>
              </w:rPr>
              <w:t>篇，SCI文章</w:t>
            </w:r>
            <w:r>
              <w:rPr>
                <w:rFonts w:ascii="宋体" w:hAnsi="宋体" w:cs="宋体"/>
                <w:kern w:val="0"/>
                <w:sz w:val="18"/>
                <w:szCs w:val="18"/>
              </w:rPr>
              <w:t>2</w:t>
            </w:r>
            <w:r>
              <w:rPr>
                <w:rFonts w:hint="eastAsia" w:ascii="宋体" w:hAnsi="宋体" w:cs="宋体"/>
                <w:kern w:val="0"/>
                <w:sz w:val="18"/>
                <w:szCs w:val="18"/>
              </w:rPr>
              <w:t>篇，</w:t>
            </w:r>
            <w:r>
              <w:rPr>
                <w:rFonts w:ascii="宋体" w:hAnsi="宋体" w:cs="宋体"/>
                <w:kern w:val="0"/>
                <w:sz w:val="18"/>
                <w:szCs w:val="18"/>
              </w:rPr>
              <w:t>申报博士生导师2人、硕士生导师2人。培养在读博士1名；培养全国老中医药专家学术继承人</w:t>
            </w:r>
            <w:r>
              <w:rPr>
                <w:rFonts w:hint="eastAsia" w:ascii="宋体" w:hAnsi="宋体" w:cs="宋体"/>
                <w:kern w:val="0"/>
                <w:sz w:val="18"/>
                <w:szCs w:val="18"/>
              </w:rPr>
              <w:t>2</w:t>
            </w:r>
            <w:r>
              <w:rPr>
                <w:rFonts w:ascii="宋体" w:hAnsi="宋体" w:cs="宋体"/>
                <w:kern w:val="0"/>
                <w:sz w:val="18"/>
                <w:szCs w:val="18"/>
              </w:rPr>
              <w:t>人；申报中国科协青年人才托举工程项目扶持人才1人；</w:t>
            </w:r>
            <w:r>
              <w:rPr>
                <w:rFonts w:hint="eastAsia" w:ascii="宋体" w:hAnsi="宋体" w:cs="宋体"/>
                <w:kern w:val="0"/>
                <w:sz w:val="18"/>
                <w:szCs w:val="18"/>
              </w:rPr>
              <w:t>获批</w:t>
            </w:r>
            <w:r>
              <w:rPr>
                <w:rFonts w:ascii="宋体" w:hAnsi="宋体" w:cs="宋体"/>
                <w:kern w:val="0"/>
                <w:sz w:val="18"/>
                <w:szCs w:val="18"/>
              </w:rPr>
              <w:t>北京市医管局“青苗计划”1人。召开国家级继续教育项目1次、北京市级继续教育项目1次。帮扶小汤山医院申报局级及以上科研项目1项，国内核心期刊论文2篇</w:t>
            </w:r>
            <w:r>
              <w:rPr>
                <w:rFonts w:hint="eastAsia" w:ascii="宋体" w:hAnsi="宋体" w:cs="宋体"/>
                <w:kern w:val="0"/>
                <w:sz w:val="18"/>
                <w:szCs w:val="18"/>
              </w:rPr>
              <w:t>，</w:t>
            </w:r>
            <w:r>
              <w:rPr>
                <w:rFonts w:ascii="宋体" w:hAnsi="宋体" w:cs="宋体"/>
                <w:kern w:val="0"/>
                <w:sz w:val="18"/>
                <w:szCs w:val="18"/>
              </w:rPr>
              <w:t>申报全国老中医药专家学术继承人1人，北京市医管局“青苗计划”1人。</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李萍</w:t>
            </w:r>
            <w:r>
              <w:rPr>
                <w:rFonts w:ascii="宋体" w:hAnsi="宋体" w:cs="宋体"/>
                <w:kern w:val="0"/>
                <w:sz w:val="18"/>
                <w:szCs w:val="18"/>
              </w:rPr>
              <w:t>：</w:t>
            </w:r>
            <w:r>
              <w:rPr>
                <w:rFonts w:hint="eastAsia" w:ascii="宋体" w:hAnsi="宋体" w:cs="宋体"/>
                <w:kern w:val="0"/>
                <w:sz w:val="18"/>
                <w:szCs w:val="18"/>
              </w:rPr>
              <w:t>确定靛玉红纳米晶的工艺方案，并成功制备透明质酸复合水凝胶递药系统，完成该产品稳定性和给药精准性的初步评估。</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周冬梅</w:t>
            </w:r>
            <w:r>
              <w:rPr>
                <w:rFonts w:ascii="宋体" w:hAnsi="宋体" w:cs="宋体"/>
                <w:kern w:val="0"/>
                <w:sz w:val="18"/>
                <w:szCs w:val="18"/>
              </w:rPr>
              <w:t>：</w:t>
            </w:r>
            <w:r>
              <w:rPr>
                <w:rFonts w:hint="eastAsia" w:ascii="宋体" w:hAnsi="宋体" w:cs="宋体"/>
                <w:kern w:val="0"/>
                <w:sz w:val="18"/>
                <w:szCs w:val="18"/>
              </w:rPr>
              <w:t>（1）建立专家团队，召开方案实施论证会，细化银屑病“从血论治”辨治优化具体实施方案，纳入20家研究合作单位，完成预备推广准备工作；</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（2）《寻常型银屑病中医药循证实践指南》已经修订形成初稿，有待进一步补充后经行业学会发布；</w:t>
            </w:r>
          </w:p>
          <w:p>
            <w:pPr>
              <w:widowControl/>
              <w:spacing w:line="240" w:lineRule="exact"/>
              <w:jc w:val="left"/>
              <w:rPr>
                <w:rFonts w:hint="eastAsia" w:ascii="宋体" w:hAnsi="宋体" w:cs="宋体"/>
                <w:kern w:val="0"/>
                <w:sz w:val="18"/>
                <w:szCs w:val="18"/>
              </w:rPr>
            </w:pPr>
          </w:p>
          <w:p>
            <w:pPr>
              <w:widowControl/>
              <w:spacing w:line="240" w:lineRule="exact"/>
              <w:jc w:val="left"/>
              <w:rPr>
                <w:rFonts w:ascii="宋体" w:hAnsi="宋体" w:cs="宋体"/>
                <w:kern w:val="0"/>
                <w:sz w:val="18"/>
                <w:szCs w:val="18"/>
              </w:rPr>
            </w:pPr>
          </w:p>
          <w:p>
            <w:pPr>
              <w:widowControl/>
              <w:spacing w:line="240" w:lineRule="exact"/>
              <w:jc w:val="left"/>
              <w:rPr>
                <w:rFonts w:ascii="宋体" w:hAnsi="宋体" w:cs="宋体"/>
                <w:kern w:val="0"/>
                <w:sz w:val="18"/>
                <w:szCs w:val="18"/>
              </w:rPr>
            </w:pPr>
          </w:p>
          <w:p>
            <w:pPr>
              <w:widowControl/>
              <w:spacing w:line="240" w:lineRule="exact"/>
              <w:jc w:val="left"/>
              <w:rPr>
                <w:rFonts w:ascii="宋体" w:hAnsi="宋体" w:cs="宋体"/>
                <w:kern w:val="0"/>
                <w:sz w:val="18"/>
                <w:szCs w:val="18"/>
              </w:rPr>
            </w:pPr>
          </w:p>
          <w:p>
            <w:pPr>
              <w:widowControl/>
              <w:spacing w:line="240" w:lineRule="exact"/>
              <w:jc w:val="left"/>
              <w:rPr>
                <w:rFonts w:ascii="宋体" w:hAnsi="宋体" w:cs="宋体"/>
                <w:kern w:val="0"/>
                <w:sz w:val="18"/>
                <w:szCs w:val="18"/>
              </w:rPr>
            </w:pPr>
          </w:p>
          <w:p>
            <w:pPr>
              <w:widowControl/>
              <w:spacing w:line="240" w:lineRule="exact"/>
              <w:jc w:val="left"/>
              <w:rPr>
                <w:rFonts w:ascii="宋体" w:hAnsi="宋体" w:cs="宋体"/>
                <w:kern w:val="0"/>
                <w:sz w:val="18"/>
                <w:szCs w:val="18"/>
              </w:rPr>
            </w:pPr>
          </w:p>
          <w:p>
            <w:pPr>
              <w:widowControl/>
              <w:spacing w:line="240" w:lineRule="exact"/>
              <w:jc w:val="left"/>
              <w:rPr>
                <w:rFonts w:ascii="宋体" w:hAnsi="宋体" w:cs="宋体"/>
                <w:kern w:val="0"/>
                <w:sz w:val="18"/>
                <w:szCs w:val="18"/>
              </w:rPr>
            </w:pPr>
          </w:p>
          <w:p>
            <w:pPr>
              <w:widowControl/>
              <w:spacing w:line="240" w:lineRule="exact"/>
              <w:jc w:val="left"/>
              <w:rPr>
                <w:rFonts w:ascii="宋体" w:hAnsi="宋体" w:cs="宋体"/>
                <w:kern w:val="0"/>
                <w:sz w:val="18"/>
                <w:szCs w:val="18"/>
              </w:rPr>
            </w:pPr>
          </w:p>
          <w:p>
            <w:pPr>
              <w:widowControl/>
              <w:spacing w:line="240" w:lineRule="exact"/>
              <w:jc w:val="left"/>
              <w:rPr>
                <w:rFonts w:ascii="宋体" w:hAnsi="宋体" w:cs="宋体"/>
                <w:kern w:val="0"/>
                <w:sz w:val="18"/>
                <w:szCs w:val="18"/>
              </w:rPr>
            </w:pPr>
          </w:p>
          <w:p>
            <w:pPr>
              <w:widowControl/>
              <w:spacing w:line="240" w:lineRule="exact"/>
              <w:jc w:val="left"/>
              <w:rPr>
                <w:rFonts w:ascii="宋体" w:hAnsi="宋体" w:cs="宋体"/>
                <w:kern w:val="0"/>
                <w:sz w:val="18"/>
                <w:szCs w:val="18"/>
              </w:rPr>
            </w:pPr>
          </w:p>
          <w:p>
            <w:pPr>
              <w:widowControl/>
              <w:spacing w:line="240" w:lineRule="exact"/>
              <w:jc w:val="left"/>
              <w:rPr>
                <w:rFonts w:ascii="宋体" w:hAnsi="宋体" w:cs="宋体"/>
                <w:kern w:val="0"/>
                <w:sz w:val="18"/>
                <w:szCs w:val="18"/>
              </w:rPr>
            </w:pPr>
          </w:p>
          <w:p>
            <w:pPr>
              <w:widowControl/>
              <w:spacing w:line="240" w:lineRule="exact"/>
              <w:jc w:val="left"/>
              <w:rPr>
                <w:rFonts w:ascii="宋体" w:hAnsi="宋体" w:cs="宋体"/>
                <w:kern w:val="0"/>
                <w:sz w:val="18"/>
                <w:szCs w:val="18"/>
              </w:rPr>
            </w:pPr>
          </w:p>
          <w:p>
            <w:pPr>
              <w:widowControl/>
              <w:spacing w:line="240" w:lineRule="exact"/>
              <w:jc w:val="left"/>
              <w:rPr>
                <w:rFonts w:ascii="宋体" w:hAnsi="宋体" w:cs="宋体"/>
                <w:kern w:val="0"/>
                <w:sz w:val="18"/>
                <w:szCs w:val="18"/>
              </w:rPr>
            </w:pPr>
          </w:p>
          <w:p>
            <w:pPr>
              <w:widowControl/>
              <w:spacing w:line="240" w:lineRule="exact"/>
              <w:jc w:val="left"/>
              <w:rPr>
                <w:rFonts w:hint="eastAsia" w:ascii="宋体" w:hAnsi="宋体" w:cs="宋体"/>
                <w:kern w:val="0"/>
                <w:sz w:val="18"/>
                <w:szCs w:val="18"/>
              </w:rPr>
            </w:pPr>
          </w:p>
        </w:tc>
      </w:tr>
      <w:tr>
        <w:tblPrEx>
          <w:tblCellMar>
            <w:top w:w="0" w:type="dxa"/>
            <w:left w:w="108" w:type="dxa"/>
            <w:bottom w:w="0" w:type="dxa"/>
            <w:right w:w="108" w:type="dxa"/>
          </w:tblCellMar>
        </w:tblPrEx>
        <w:trPr>
          <w:trHeight w:val="8245" w:hRule="exact"/>
          <w:jc w:val="center"/>
        </w:trPr>
        <w:tc>
          <w:tcPr>
            <w:tcW w:w="578"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（7）1-2人获得硕士生资格，培养硕士研究生8-9名，博士研究生2-3名；</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（8）发表核心期刊论文大于30篇，SCI论文1-2篇，出版特色教材《赵炳南中医皮肤病学》1部；</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（9）举办国家继续教育项目赵炳南学术思想高级研修班；陈彤云中医美容高级研修班；举办市级继续教育项目；</w:t>
            </w:r>
          </w:p>
          <w:p>
            <w:pPr>
              <w:widowControl/>
              <w:spacing w:line="240" w:lineRule="exact"/>
              <w:rPr>
                <w:rFonts w:hint="eastAsia" w:ascii="宋体" w:hAnsi="宋体" w:cs="宋体"/>
                <w:kern w:val="0"/>
                <w:sz w:val="18"/>
                <w:szCs w:val="18"/>
              </w:rPr>
            </w:pPr>
            <w:r>
              <w:rPr>
                <w:rFonts w:hint="eastAsia" w:ascii="宋体" w:hAnsi="宋体" w:cs="宋体"/>
                <w:kern w:val="0"/>
                <w:sz w:val="18"/>
                <w:szCs w:val="18"/>
              </w:rPr>
              <w:t>（10）开展临床中医皮肤病常见病、疑难病最新进展培训1次；开展中西医病例讨论会2次。</w:t>
            </w:r>
          </w:p>
          <w:p>
            <w:pPr>
              <w:widowControl/>
              <w:spacing w:line="240" w:lineRule="exact"/>
              <w:jc w:val="left"/>
              <w:rPr>
                <w:rFonts w:hint="eastAsia" w:ascii="宋体" w:hAnsi="宋体" w:cs="宋体"/>
                <w:kern w:val="0"/>
                <w:sz w:val="18"/>
                <w:szCs w:val="18"/>
              </w:rPr>
            </w:pPr>
          </w:p>
        </w:tc>
        <w:tc>
          <w:tcPr>
            <w:tcW w:w="3626" w:type="dxa"/>
            <w:gridSpan w:val="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（3）即将举行《中医药与生物制剂联合应用治疗斑块状银屑病的指南（专家共识）》启动会；</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4）立项“中医药联合生物制剂治疗对银屑病复发的影响”课题研究，与中日友好医院、东直门医院合作开展多中心队列研究，目前处于项目启动阶段；联合京津冀地区45家包括中医、中西医结合、西医在内的单位建立京津冀地区银屑病科研攻关平台；</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（5）开展复方杏脂膏、甘榆膏、楮桃洗剂、药浴泡腾片等外用制剂开发研制，并进行相应基础、临床研究，获得专利1项；</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（6）培训专业骨干5人，围绕皮肤科亚专业方向在研承担国家级课题1项，市级、局级课题近20项；</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（7）2人获得硕士导师资格，培养硕士研究生</w:t>
            </w:r>
            <w:r>
              <w:rPr>
                <w:rFonts w:ascii="宋体" w:hAnsi="宋体" w:cs="宋体"/>
                <w:kern w:val="0"/>
                <w:sz w:val="18"/>
                <w:szCs w:val="18"/>
              </w:rPr>
              <w:t>12</w:t>
            </w:r>
            <w:r>
              <w:rPr>
                <w:rFonts w:hint="eastAsia" w:ascii="宋体" w:hAnsi="宋体" w:cs="宋体"/>
                <w:kern w:val="0"/>
                <w:sz w:val="18"/>
                <w:szCs w:val="18"/>
              </w:rPr>
              <w:t>名，博士研究生</w:t>
            </w:r>
            <w:r>
              <w:rPr>
                <w:rFonts w:ascii="宋体" w:hAnsi="宋体" w:cs="宋体"/>
                <w:kern w:val="0"/>
                <w:sz w:val="18"/>
                <w:szCs w:val="18"/>
              </w:rPr>
              <w:t>2</w:t>
            </w:r>
            <w:r>
              <w:rPr>
                <w:rFonts w:hint="eastAsia" w:ascii="宋体" w:hAnsi="宋体" w:cs="宋体"/>
                <w:kern w:val="0"/>
                <w:sz w:val="18"/>
                <w:szCs w:val="18"/>
              </w:rPr>
              <w:t>名；</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（8）发表论文核心期刊40篇（使用本项目基金2篇），SCI 4篇，《赵炳南中医皮肤病学》初稿已形成；</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（9）举办“赵炳南学术思想高级研修班”“中医外治培训班”等高级研修班3项；</w:t>
            </w:r>
          </w:p>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（10）承办“2021中国民族医药学会皮肤科分会年会”“2021华北地区皮肤科年会”“2021年医疗美容专委会学术会议”。</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70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73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p>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092"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李彬</w:t>
            </w:r>
            <w:r>
              <w:rPr>
                <w:rFonts w:ascii="宋体" w:hAnsi="宋体" w:cs="宋体"/>
                <w:color w:val="000000"/>
                <w:kern w:val="0"/>
                <w:sz w:val="18"/>
                <w:szCs w:val="18"/>
              </w:rPr>
              <w:t>：</w:t>
            </w:r>
            <w:r>
              <w:rPr>
                <w:rFonts w:hint="eastAsia" w:ascii="宋体" w:hAnsi="宋体" w:cs="宋体"/>
                <w:color w:val="000000"/>
                <w:kern w:val="0"/>
                <w:sz w:val="18"/>
                <w:szCs w:val="18"/>
              </w:rPr>
              <w:t>高级职称由10个增加至11个</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12</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59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国家重点临床专科/北京市重点实验室个数</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57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开展国家级课题/省部级课题</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56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发表文章、著作个数，获批专利个数</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w:t>
            </w:r>
            <w:r>
              <w:rPr>
                <w:rFonts w:ascii="宋体" w:hAnsi="宋体" w:cs="宋体"/>
                <w:kern w:val="0"/>
                <w:sz w:val="18"/>
                <w:szCs w:val="18"/>
              </w:rPr>
              <w:t>2</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22</w:t>
            </w:r>
            <w:r>
              <w:rPr>
                <w:rFonts w:hint="eastAsia" w:ascii="宋体" w:hAnsi="宋体" w:cs="宋体"/>
                <w:kern w:val="0"/>
                <w:sz w:val="18"/>
                <w:szCs w:val="18"/>
              </w:rPr>
              <w:t>/</w:t>
            </w:r>
            <w:r>
              <w:rPr>
                <w:rFonts w:ascii="宋体" w:hAnsi="宋体" w:cs="宋体"/>
                <w:kern w:val="0"/>
                <w:sz w:val="18"/>
                <w:szCs w:val="18"/>
              </w:rPr>
              <w:t>2/2</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44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形成方案个数</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85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李萍</w:t>
            </w:r>
            <w:r>
              <w:rPr>
                <w:rFonts w:ascii="宋体" w:hAnsi="宋体" w:cs="宋体"/>
                <w:color w:val="000000"/>
                <w:kern w:val="0"/>
                <w:sz w:val="18"/>
                <w:szCs w:val="18"/>
              </w:rPr>
              <w:t>：</w:t>
            </w:r>
            <w:r>
              <w:rPr>
                <w:rFonts w:hint="eastAsia" w:ascii="宋体" w:hAnsi="宋体" w:cs="宋体"/>
                <w:color w:val="000000"/>
                <w:kern w:val="0"/>
                <w:sz w:val="18"/>
                <w:szCs w:val="18"/>
              </w:rPr>
              <w:t>指标1：开展银屑病外用制剂领域研究课题个数</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1700"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指标2：发表文章篇数</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ascii="宋体" w:hAnsi="宋体" w:cs="宋体"/>
                <w:kern w:val="0"/>
                <w:sz w:val="18"/>
                <w:szCs w:val="18"/>
              </w:rPr>
              <w:t>0</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1</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0</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在完成本年度任务基础上，提前完成部分后续研究工作，积攒实验结果，以期发表更高水平论文</w:t>
            </w:r>
          </w:p>
        </w:tc>
      </w:tr>
      <w:tr>
        <w:tblPrEx>
          <w:tblCellMar>
            <w:top w:w="0" w:type="dxa"/>
            <w:left w:w="108" w:type="dxa"/>
            <w:bottom w:w="0" w:type="dxa"/>
            <w:right w:w="108" w:type="dxa"/>
          </w:tblCellMar>
        </w:tblPrEx>
        <w:trPr>
          <w:trHeight w:val="83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指标3：培养银屑病领域博士/硕士人数</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114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周冬梅</w:t>
            </w:r>
            <w:r>
              <w:rPr>
                <w:rFonts w:ascii="宋体" w:hAnsi="宋体" w:cs="宋体"/>
                <w:color w:val="000000"/>
                <w:kern w:val="0"/>
                <w:sz w:val="18"/>
                <w:szCs w:val="18"/>
              </w:rPr>
              <w:t>：</w:t>
            </w:r>
            <w:r>
              <w:rPr>
                <w:rFonts w:hint="eastAsia" w:ascii="宋体" w:hAnsi="宋体" w:cs="宋体"/>
                <w:color w:val="000000"/>
                <w:kern w:val="0"/>
                <w:sz w:val="18"/>
                <w:szCs w:val="18"/>
              </w:rPr>
              <w:t>指标1：正高/硕博/博士导师/硕士导师/国家一级学会任职/高层次人才人数</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7</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850"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指标2:发表文章/著作个数/获批专利个数</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48</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color w:val="000000"/>
                <w:sz w:val="18"/>
                <w:szCs w:val="18"/>
              </w:rPr>
              <w:t>1</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color w:val="000000"/>
                <w:sz w:val="18"/>
                <w:szCs w:val="18"/>
              </w:rPr>
              <w:t>1</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98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指标3：成新技术/方案/共识等个数</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84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李彬</w:t>
            </w:r>
            <w:r>
              <w:rPr>
                <w:rFonts w:ascii="宋体" w:hAnsi="宋体" w:cs="宋体"/>
                <w:color w:val="000000"/>
                <w:kern w:val="0"/>
                <w:sz w:val="18"/>
                <w:szCs w:val="18"/>
              </w:rPr>
              <w:t>：</w:t>
            </w:r>
            <w:r>
              <w:rPr>
                <w:rFonts w:hint="eastAsia" w:ascii="宋体" w:hAnsi="宋体" w:cs="宋体"/>
                <w:color w:val="000000"/>
                <w:kern w:val="0"/>
                <w:sz w:val="18"/>
                <w:szCs w:val="18"/>
              </w:rPr>
              <w:t>专业团队中正高级/副高级/中级/其他人数提高比例</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71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专业团队中博士/硕士/本科/其他人数提高比例</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70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博/硕导师人数提高比例</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84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国家一级学会任职人中主任委员/副主任委员/委员人数提高比例</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70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课题研究符合的标准</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00</w:t>
            </w:r>
            <w:r>
              <w:rPr>
                <w:rFonts w:hint="eastAsia" w:ascii="宋体" w:hAnsi="宋体" w:cs="宋体"/>
                <w:kern w:val="0"/>
                <w:sz w:val="18"/>
                <w:szCs w:val="18"/>
              </w:rPr>
              <w:t>%</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00</w:t>
            </w:r>
            <w:r>
              <w:rPr>
                <w:rFonts w:hint="eastAsia" w:ascii="宋体" w:hAnsi="宋体" w:cs="宋体"/>
                <w:kern w:val="0"/>
                <w:sz w:val="18"/>
                <w:szCs w:val="18"/>
              </w:rPr>
              <w:t>%</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79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中文核心期刊论文达到的标准/水平</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5</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5</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56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SCI论文达到的标准/水平</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91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李萍</w:t>
            </w:r>
            <w:r>
              <w:rPr>
                <w:rFonts w:ascii="宋体" w:hAnsi="宋体" w:cs="宋体"/>
                <w:color w:val="000000"/>
                <w:kern w:val="0"/>
                <w:sz w:val="18"/>
                <w:szCs w:val="18"/>
              </w:rPr>
              <w:t>：</w:t>
            </w:r>
            <w:r>
              <w:rPr>
                <w:rFonts w:hint="eastAsia" w:ascii="宋体" w:hAnsi="宋体" w:cs="宋体"/>
                <w:color w:val="000000"/>
                <w:kern w:val="0"/>
                <w:sz w:val="18"/>
                <w:szCs w:val="18"/>
              </w:rPr>
              <w:t>指标1：银屑病外用制剂领域治疗方案</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研发一套中药有效成分精准治疗银屑病的纳米透皮递药系统</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研发出一套中药有效成分精准治疗银屑病的纳米透皮递药系统</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91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指标2：中文核心期刊论文达到的标准/水平SCI论文达到的标准/水平  </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达到中医药科技期刊T2以上水平，影响因子IF&gt;2.0</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投稿中</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1</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color w:val="000000"/>
                <w:sz w:val="18"/>
                <w:szCs w:val="18"/>
              </w:rPr>
              <w:t>0</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投稿中</w:t>
            </w:r>
            <w:r>
              <w:rPr>
                <w:rFonts w:hint="eastAsia"/>
                <w:color w:val="000000"/>
                <w:sz w:val="18"/>
                <w:szCs w:val="18"/>
              </w:rPr>
              <w:t>　</w:t>
            </w:r>
          </w:p>
        </w:tc>
      </w:tr>
      <w:tr>
        <w:tblPrEx>
          <w:tblCellMar>
            <w:top w:w="0" w:type="dxa"/>
            <w:left w:w="108" w:type="dxa"/>
            <w:bottom w:w="0" w:type="dxa"/>
            <w:right w:w="108" w:type="dxa"/>
          </w:tblCellMar>
        </w:tblPrEx>
        <w:trPr>
          <w:trHeight w:val="91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ascii="宋体" w:hAnsi="宋体" w:cs="宋体"/>
                <w:color w:val="000000"/>
                <w:kern w:val="0"/>
                <w:sz w:val="18"/>
                <w:szCs w:val="18"/>
              </w:rPr>
              <w:t>周冬梅</w:t>
            </w:r>
            <w:r>
              <w:rPr>
                <w:rFonts w:hint="eastAsia" w:ascii="宋体" w:hAnsi="宋体" w:cs="宋体"/>
                <w:color w:val="000000"/>
                <w:kern w:val="0"/>
                <w:sz w:val="18"/>
                <w:szCs w:val="18"/>
              </w:rPr>
              <w:t>：指标1：专业团队中正高级提高比例</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2.4%</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1</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1</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91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指标2：专业团队中博士、硕士人数提高比例</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硕博比例提高1%</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未达标</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0.5</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0</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本年度无人事变动，科室部分在读博士尚未毕业</w:t>
            </w:r>
          </w:p>
        </w:tc>
      </w:tr>
      <w:tr>
        <w:tblPrEx>
          <w:tblCellMar>
            <w:top w:w="0" w:type="dxa"/>
            <w:left w:w="108" w:type="dxa"/>
            <w:bottom w:w="0" w:type="dxa"/>
            <w:right w:w="108" w:type="dxa"/>
          </w:tblCellMar>
        </w:tblPrEx>
        <w:trPr>
          <w:trHeight w:val="91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指标3：北京市科技新星/全国优秀中医临床人才个数（与任务书一致）</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1/1</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2/1</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18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指标4：中文核心期刊论文达到的标准/水平 </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达到优秀核心期刊标准/水平，影响因子0.5</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达到优秀核心期刊标准/水平，影响因子0.3</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91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指标5：SCI论文达到的标准/水平</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影响因子3.3</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影响因子3.3</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57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进度指标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李彬</w:t>
            </w:r>
            <w:r>
              <w:rPr>
                <w:rFonts w:ascii="宋体" w:hAnsi="宋体" w:cs="宋体"/>
                <w:color w:val="000000"/>
                <w:kern w:val="0"/>
                <w:sz w:val="18"/>
                <w:szCs w:val="18"/>
              </w:rPr>
              <w:t>：</w:t>
            </w:r>
            <w:r>
              <w:rPr>
                <w:rFonts w:hint="eastAsia" w:ascii="宋体" w:hAnsi="宋体" w:cs="宋体"/>
                <w:color w:val="000000"/>
                <w:kern w:val="0"/>
                <w:sz w:val="18"/>
                <w:szCs w:val="18"/>
              </w:rPr>
              <w:t>完成方案制定和前期准备工作</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00</w:t>
            </w:r>
            <w:r>
              <w:rPr>
                <w:rFonts w:hint="eastAsia" w:ascii="宋体" w:hAnsi="宋体" w:cs="宋体"/>
                <w:kern w:val="0"/>
                <w:sz w:val="18"/>
                <w:szCs w:val="18"/>
              </w:rPr>
              <w:t>%</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00</w:t>
            </w:r>
            <w:r>
              <w:rPr>
                <w:rFonts w:hint="eastAsia" w:ascii="宋体" w:hAnsi="宋体" w:cs="宋体"/>
                <w:kern w:val="0"/>
                <w:sz w:val="18"/>
                <w:szCs w:val="18"/>
              </w:rPr>
              <w:t>%</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完成</w:t>
            </w:r>
            <w:r>
              <w:rPr>
                <w:rFonts w:ascii="宋体" w:hAnsi="宋体" w:cs="宋体"/>
                <w:color w:val="000000"/>
                <w:kern w:val="0"/>
                <w:sz w:val="18"/>
                <w:szCs w:val="18"/>
              </w:rPr>
              <w:t>10</w:t>
            </w:r>
            <w:r>
              <w:rPr>
                <w:rFonts w:hint="eastAsia" w:ascii="宋体" w:hAnsi="宋体" w:cs="宋体"/>
                <w:color w:val="000000"/>
                <w:kern w:val="0"/>
                <w:sz w:val="18"/>
                <w:szCs w:val="18"/>
              </w:rPr>
              <w:t>论文发表</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1</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1</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主持召开国内/外会议</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70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完成5次国内外学术交流</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41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完成2部著作编制</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1</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1</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项目实施满意度调查</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w:t>
            </w:r>
            <w:r>
              <w:rPr>
                <w:rFonts w:ascii="宋体" w:hAnsi="宋体" w:cs="宋体"/>
                <w:kern w:val="0"/>
                <w:sz w:val="18"/>
                <w:szCs w:val="18"/>
              </w:rPr>
              <w:t>5</w:t>
            </w:r>
            <w:r>
              <w:rPr>
                <w:rFonts w:hint="eastAsia" w:ascii="宋体" w:hAnsi="宋体" w:cs="宋体"/>
                <w:kern w:val="0"/>
                <w:sz w:val="18"/>
                <w:szCs w:val="18"/>
              </w:rPr>
              <w:t>%</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w:t>
            </w:r>
            <w:r>
              <w:rPr>
                <w:rFonts w:ascii="宋体" w:hAnsi="宋体" w:cs="宋体"/>
                <w:kern w:val="0"/>
                <w:sz w:val="18"/>
                <w:szCs w:val="18"/>
              </w:rPr>
              <w:t>5</w:t>
            </w:r>
            <w:r>
              <w:rPr>
                <w:rFonts w:hint="eastAsia" w:ascii="宋体" w:hAnsi="宋体" w:cs="宋体"/>
                <w:kern w:val="0"/>
                <w:sz w:val="18"/>
                <w:szCs w:val="18"/>
              </w:rPr>
              <w:t>%</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1</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1</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82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李萍</w:t>
            </w:r>
            <w:r>
              <w:rPr>
                <w:rFonts w:ascii="宋体" w:hAnsi="宋体" w:cs="宋体"/>
                <w:color w:val="000000"/>
                <w:kern w:val="0"/>
                <w:sz w:val="18"/>
                <w:szCs w:val="18"/>
              </w:rPr>
              <w:t>：</w:t>
            </w:r>
            <w:r>
              <w:rPr>
                <w:rFonts w:hint="eastAsia" w:ascii="宋体" w:hAnsi="宋体" w:cs="宋体"/>
                <w:color w:val="000000"/>
                <w:kern w:val="0"/>
                <w:sz w:val="18"/>
                <w:szCs w:val="18"/>
              </w:rPr>
              <w:t>指标1：完成方案制定和前期准备工作</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2021年5月前</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2021年5月前</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71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指标2：完成1名人才培养</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2021年12月前</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2021年12月前</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70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指标3：完成1篇论文发表</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2021年12月前</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投稿中</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1</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0</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投稿中</w:t>
            </w:r>
          </w:p>
        </w:tc>
      </w:tr>
      <w:tr>
        <w:tblPrEx>
          <w:tblCellMar>
            <w:top w:w="0" w:type="dxa"/>
            <w:left w:w="108" w:type="dxa"/>
            <w:bottom w:w="0" w:type="dxa"/>
            <w:right w:w="108" w:type="dxa"/>
          </w:tblCellMar>
        </w:tblPrEx>
        <w:trPr>
          <w:trHeight w:val="71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周冬梅</w:t>
            </w:r>
            <w:r>
              <w:rPr>
                <w:rFonts w:ascii="宋体" w:hAnsi="宋体" w:cs="宋体"/>
                <w:color w:val="000000"/>
                <w:kern w:val="0"/>
                <w:sz w:val="18"/>
                <w:szCs w:val="18"/>
              </w:rPr>
              <w:t>：</w:t>
            </w:r>
            <w:r>
              <w:rPr>
                <w:rFonts w:hint="eastAsia" w:ascii="宋体" w:hAnsi="宋体" w:cs="宋体"/>
                <w:color w:val="000000"/>
                <w:kern w:val="0"/>
                <w:sz w:val="18"/>
                <w:szCs w:val="18"/>
              </w:rPr>
              <w:t>指标1：完成方案制定和前期准备工作</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2021年5月前</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2021年5月前</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85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指标2：完成1篇论文发表</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2021年12月前</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2021年12月前</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850"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指标3：主持召开国内银屑病高峰论坛会议</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2021年12月前</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2021年12月前</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2</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100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指标4：完成国家级继教项目</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2021年12月前</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2021年12月前</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1</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1</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341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李彬</w:t>
            </w:r>
            <w:r>
              <w:rPr>
                <w:rFonts w:ascii="宋体" w:hAnsi="宋体" w:cs="宋体"/>
                <w:color w:val="000000"/>
                <w:kern w:val="0"/>
                <w:sz w:val="18"/>
                <w:szCs w:val="18"/>
              </w:rPr>
              <w:t>：</w:t>
            </w:r>
            <w:r>
              <w:rPr>
                <w:rFonts w:hint="eastAsia" w:ascii="宋体" w:hAnsi="宋体" w:cs="宋体"/>
                <w:color w:val="000000"/>
                <w:kern w:val="0"/>
                <w:sz w:val="18"/>
                <w:szCs w:val="18"/>
              </w:rPr>
              <w:t>项目总预算控制数</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14.9</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w:t>
            </w:r>
            <w:r>
              <w:rPr>
                <w:rFonts w:ascii="宋体" w:hAnsi="宋体" w:cs="宋体"/>
                <w:kern w:val="0"/>
                <w:sz w:val="18"/>
                <w:szCs w:val="18"/>
              </w:rPr>
              <w:t>.8</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1</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1</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color w:val="000000"/>
                <w:sz w:val="18"/>
                <w:szCs w:val="18"/>
              </w:rPr>
              <w:t>1.因疫情原因，人才培养外出学习受到限制，支出不足。2.目前发表文章周期较长，发表文章报销要求见刊报销，故经费第一年版面费报销因文章未见刊支出不足。</w:t>
            </w:r>
          </w:p>
        </w:tc>
      </w:tr>
      <w:tr>
        <w:tblPrEx>
          <w:tblCellMar>
            <w:top w:w="0" w:type="dxa"/>
            <w:left w:w="108" w:type="dxa"/>
            <w:bottom w:w="0" w:type="dxa"/>
            <w:right w:w="108" w:type="dxa"/>
          </w:tblCellMar>
        </w:tblPrEx>
        <w:trPr>
          <w:trHeight w:val="55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课题研究单位平均控制成本</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w:t>
            </w:r>
            <w:r>
              <w:rPr>
                <w:rFonts w:ascii="宋体" w:hAnsi="宋体" w:cs="宋体"/>
                <w:kern w:val="0"/>
                <w:sz w:val="18"/>
                <w:szCs w:val="18"/>
              </w:rPr>
              <w:t>.9</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1</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1</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58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国内外学术交流单位平均控制成本</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2.9</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.9</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1</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1</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56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人才培养平均控制成本</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4</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1</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1</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56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李萍</w:t>
            </w:r>
            <w:r>
              <w:rPr>
                <w:rFonts w:ascii="宋体" w:hAnsi="宋体" w:cs="宋体"/>
                <w:color w:val="000000"/>
                <w:kern w:val="0"/>
                <w:sz w:val="18"/>
                <w:szCs w:val="18"/>
              </w:rPr>
              <w:t>：</w:t>
            </w:r>
            <w:r>
              <w:rPr>
                <w:rFonts w:hint="eastAsia" w:ascii="宋体" w:hAnsi="宋体" w:cs="宋体"/>
                <w:color w:val="000000"/>
                <w:kern w:val="0"/>
                <w:sz w:val="18"/>
                <w:szCs w:val="18"/>
              </w:rPr>
              <w:t xml:space="preserve">指标1：项目总预算控制数  </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9.6万元</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9.6万元</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1</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hint="eastAsia" w:ascii="宋体" w:hAnsi="宋体" w:cs="宋体"/>
                <w:kern w:val="0"/>
                <w:sz w:val="18"/>
                <w:szCs w:val="18"/>
              </w:rPr>
            </w:pPr>
            <w:r>
              <w:rPr>
                <w:rFonts w:hint="eastAsia"/>
                <w:color w:val="000000"/>
                <w:sz w:val="18"/>
                <w:szCs w:val="18"/>
              </w:rPr>
              <w:t>1</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56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指标2：人才培养平均控制成本</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3万元</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3万元</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1</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hint="eastAsia" w:ascii="宋体" w:hAnsi="宋体" w:cs="宋体"/>
                <w:kern w:val="0"/>
                <w:sz w:val="18"/>
                <w:szCs w:val="18"/>
              </w:rPr>
            </w:pPr>
            <w:r>
              <w:rPr>
                <w:rFonts w:hint="eastAsia"/>
                <w:color w:val="000000"/>
                <w:sz w:val="18"/>
                <w:szCs w:val="18"/>
              </w:rPr>
              <w:t>1</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56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指标3：国内外学术交流单位平均均控制成本</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5万元</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5万元</w:t>
            </w:r>
          </w:p>
        </w:tc>
        <w:tc>
          <w:tcPr>
            <w:tcW w:w="709"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1</w:t>
            </w:r>
          </w:p>
        </w:tc>
        <w:tc>
          <w:tcPr>
            <w:tcW w:w="708"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hint="eastAsia" w:ascii="宋体" w:hAnsi="宋体" w:cs="宋体"/>
                <w:kern w:val="0"/>
                <w:sz w:val="18"/>
                <w:szCs w:val="18"/>
              </w:rPr>
            </w:pPr>
            <w:r>
              <w:rPr>
                <w:rFonts w:hint="eastAsia"/>
                <w:color w:val="000000"/>
                <w:sz w:val="18"/>
                <w:szCs w:val="18"/>
              </w:rPr>
              <w:t>1</w:t>
            </w:r>
          </w:p>
        </w:tc>
        <w:tc>
          <w:tcPr>
            <w:tcW w:w="1276" w:type="dxa"/>
            <w:gridSpan w:val="2"/>
            <w:tcBorders>
              <w:top w:val="single" w:color="auto" w:sz="8" w:space="0"/>
              <w:left w:val="nil"/>
              <w:bottom w:val="single" w:color="auto"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56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周冬梅</w:t>
            </w:r>
            <w:r>
              <w:rPr>
                <w:rFonts w:ascii="宋体" w:hAnsi="宋体" w:cs="宋体"/>
                <w:color w:val="000000"/>
                <w:kern w:val="0"/>
                <w:sz w:val="18"/>
                <w:szCs w:val="18"/>
              </w:rPr>
              <w:t>：</w:t>
            </w:r>
            <w:r>
              <w:rPr>
                <w:rFonts w:hint="eastAsia" w:ascii="宋体" w:hAnsi="宋体" w:cs="宋体"/>
                <w:color w:val="000000"/>
                <w:kern w:val="0"/>
                <w:sz w:val="18"/>
                <w:szCs w:val="18"/>
              </w:rPr>
              <w:t>指标1：项目总预算控制数</w:t>
            </w:r>
          </w:p>
          <w:p>
            <w:pPr>
              <w:widowControl/>
              <w:spacing w:line="240" w:lineRule="exact"/>
              <w:jc w:val="left"/>
              <w:rPr>
                <w:rFonts w:hint="eastAsia" w:ascii="宋体" w:hAnsi="宋体" w:cs="宋体"/>
                <w:color w:val="000000"/>
                <w:kern w:val="0"/>
                <w:sz w:val="18"/>
                <w:szCs w:val="18"/>
              </w:rPr>
            </w:pP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37.6万元</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使用34万元，执行率90.43%</w:t>
            </w:r>
          </w:p>
        </w:tc>
        <w:tc>
          <w:tcPr>
            <w:tcW w:w="709" w:type="dxa"/>
            <w:gridSpan w:val="2"/>
            <w:tcBorders>
              <w:top w:val="single" w:color="auto" w:sz="8" w:space="0"/>
              <w:left w:val="single" w:color="auto" w:sz="8" w:space="0"/>
              <w:bottom w:val="single" w:color="000000" w:sz="8" w:space="0"/>
              <w:right w:val="single" w:color="000000" w:sz="8" w:space="0"/>
            </w:tcBorders>
            <w:shd w:val="clear" w:color="auto" w:fill="auto"/>
            <w:vAlign w:val="center"/>
          </w:tcPr>
          <w:p>
            <w:pPr>
              <w:widowControl/>
              <w:spacing w:line="240" w:lineRule="exact"/>
              <w:jc w:val="center"/>
              <w:rPr>
                <w:rFonts w:hint="eastAsia" w:ascii="宋体" w:hAnsi="宋体" w:cs="宋体"/>
                <w:kern w:val="0"/>
                <w:sz w:val="18"/>
                <w:szCs w:val="18"/>
              </w:rPr>
            </w:pPr>
            <w:r>
              <w:rPr>
                <w:rFonts w:hint="eastAsia"/>
                <w:color w:val="000000"/>
                <w:sz w:val="18"/>
                <w:szCs w:val="18"/>
              </w:rPr>
              <w:t>1</w:t>
            </w:r>
          </w:p>
        </w:tc>
        <w:tc>
          <w:tcPr>
            <w:tcW w:w="708" w:type="dxa"/>
            <w:gridSpan w:val="2"/>
            <w:tcBorders>
              <w:top w:val="single" w:color="auto" w:sz="8" w:space="0"/>
              <w:left w:val="single" w:color="auto" w:sz="8" w:space="0"/>
              <w:bottom w:val="single" w:color="000000" w:sz="8" w:space="0"/>
              <w:right w:val="single" w:color="000000" w:sz="8" w:space="0"/>
            </w:tcBorders>
            <w:shd w:val="clear" w:color="auto" w:fill="auto"/>
            <w:vAlign w:val="center"/>
          </w:tcPr>
          <w:p>
            <w:pPr>
              <w:widowControl/>
              <w:spacing w:line="240" w:lineRule="exact"/>
              <w:jc w:val="center"/>
              <w:rPr>
                <w:rFonts w:hint="eastAsia" w:ascii="宋体" w:hAnsi="宋体" w:cs="宋体"/>
                <w:kern w:val="0"/>
                <w:sz w:val="18"/>
                <w:szCs w:val="18"/>
              </w:rPr>
            </w:pPr>
            <w:r>
              <w:rPr>
                <w:rFonts w:hint="eastAsia"/>
                <w:color w:val="000000"/>
                <w:sz w:val="18"/>
                <w:szCs w:val="18"/>
              </w:rPr>
              <w:t>1</w:t>
            </w:r>
          </w:p>
        </w:tc>
        <w:tc>
          <w:tcPr>
            <w:tcW w:w="1276" w:type="dxa"/>
            <w:gridSpan w:val="2"/>
            <w:tcBorders>
              <w:top w:val="single" w:color="auto" w:sz="8" w:space="0"/>
              <w:left w:val="single" w:color="auto" w:sz="8" w:space="0"/>
              <w:bottom w:val="single" w:color="000000" w:sz="8" w:space="0"/>
              <w:right w:val="single" w:color="000000" w:sz="8" w:space="0"/>
            </w:tcBorders>
            <w:shd w:val="clear" w:color="auto" w:fill="auto"/>
            <w:vAlign w:val="center"/>
          </w:tcPr>
          <w:p>
            <w:pPr>
              <w:widowControl/>
              <w:spacing w:line="240" w:lineRule="exact"/>
              <w:jc w:val="center"/>
              <w:rPr>
                <w:rFonts w:ascii="宋体" w:hAnsi="宋体" w:cs="宋体"/>
                <w:kern w:val="0"/>
                <w:sz w:val="18"/>
                <w:szCs w:val="18"/>
              </w:rPr>
            </w:pPr>
            <w:r>
              <w:rPr>
                <w:rFonts w:hint="eastAsia"/>
                <w:color w:val="000000"/>
                <w:sz w:val="18"/>
                <w:szCs w:val="18"/>
              </w:rPr>
              <w:t>　</w:t>
            </w:r>
          </w:p>
        </w:tc>
      </w:tr>
      <w:tr>
        <w:tblPrEx>
          <w:tblCellMar>
            <w:top w:w="0" w:type="dxa"/>
            <w:left w:w="108" w:type="dxa"/>
            <w:bottom w:w="0" w:type="dxa"/>
            <w:right w:w="108" w:type="dxa"/>
          </w:tblCellMar>
        </w:tblPrEx>
        <w:trPr>
          <w:trHeight w:val="99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指标2：银屑病中医药治疗远期复发研究单位平均控制成本</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10万内</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10万元内</w:t>
            </w:r>
          </w:p>
        </w:tc>
        <w:tc>
          <w:tcPr>
            <w:tcW w:w="709" w:type="dxa"/>
            <w:gridSpan w:val="2"/>
            <w:tcBorders>
              <w:top w:val="single" w:color="auto" w:sz="8" w:space="0"/>
              <w:left w:val="single" w:color="auto" w:sz="8" w:space="0"/>
              <w:bottom w:val="single" w:color="000000" w:sz="8" w:space="0"/>
              <w:right w:val="single" w:color="000000" w:sz="8" w:space="0"/>
            </w:tcBorders>
            <w:vAlign w:val="center"/>
          </w:tcPr>
          <w:p>
            <w:pPr>
              <w:widowControl/>
              <w:spacing w:line="240" w:lineRule="exact"/>
              <w:jc w:val="center"/>
              <w:rPr>
                <w:rFonts w:hint="eastAsia" w:ascii="宋体" w:hAnsi="宋体" w:cs="宋体"/>
                <w:kern w:val="0"/>
                <w:sz w:val="18"/>
                <w:szCs w:val="18"/>
              </w:rPr>
            </w:pPr>
            <w:r>
              <w:rPr>
                <w:rFonts w:ascii="宋体" w:hAnsi="宋体" w:cs="宋体"/>
                <w:kern w:val="0"/>
                <w:sz w:val="18"/>
                <w:szCs w:val="18"/>
              </w:rPr>
              <w:t>1</w:t>
            </w:r>
          </w:p>
        </w:tc>
        <w:tc>
          <w:tcPr>
            <w:tcW w:w="708" w:type="dxa"/>
            <w:gridSpan w:val="2"/>
            <w:tcBorders>
              <w:top w:val="single" w:color="auto" w:sz="8" w:space="0"/>
              <w:left w:val="single" w:color="auto" w:sz="8" w:space="0"/>
              <w:bottom w:val="single" w:color="000000" w:sz="8" w:space="0"/>
              <w:right w:val="single" w:color="000000" w:sz="8"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w:t>
            </w:r>
          </w:p>
        </w:tc>
        <w:tc>
          <w:tcPr>
            <w:tcW w:w="1276" w:type="dxa"/>
            <w:gridSpan w:val="2"/>
            <w:tcBorders>
              <w:top w:val="single" w:color="auto" w:sz="8" w:space="0"/>
              <w:left w:val="single" w:color="auto" w:sz="8" w:space="0"/>
              <w:bottom w:val="single" w:color="000000" w:sz="8" w:space="0"/>
              <w:right w:val="single" w:color="000000" w:sz="8"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42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无</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7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85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86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李彬</w:t>
            </w:r>
            <w:r>
              <w:rPr>
                <w:rFonts w:ascii="宋体" w:hAnsi="宋体" w:cs="宋体"/>
                <w:color w:val="000000"/>
                <w:kern w:val="0"/>
                <w:sz w:val="18"/>
                <w:szCs w:val="18"/>
              </w:rPr>
              <w:t>：</w:t>
            </w:r>
            <w:r>
              <w:rPr>
                <w:rFonts w:hint="eastAsia" w:ascii="宋体" w:hAnsi="宋体" w:cs="宋体"/>
                <w:color w:val="000000"/>
                <w:kern w:val="0"/>
                <w:sz w:val="18"/>
                <w:szCs w:val="18"/>
              </w:rPr>
              <w:t>新方案应用病例数量</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00</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05</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w:t>
            </w:r>
          </w:p>
        </w:tc>
        <w:tc>
          <w:tcPr>
            <w:tcW w:w="70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w:t>
            </w: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84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与对照组相比，改善比例</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p>
        </w:tc>
        <w:tc>
          <w:tcPr>
            <w:tcW w:w="70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12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李萍</w:t>
            </w:r>
            <w:r>
              <w:rPr>
                <w:rFonts w:ascii="宋体" w:hAnsi="宋体" w:cs="宋体"/>
                <w:color w:val="000000"/>
                <w:kern w:val="0"/>
                <w:sz w:val="18"/>
                <w:szCs w:val="18"/>
              </w:rPr>
              <w:t>：</w:t>
            </w:r>
            <w:r>
              <w:rPr>
                <w:rFonts w:hint="eastAsia" w:ascii="宋体" w:hAnsi="宋体" w:cs="宋体"/>
                <w:color w:val="000000"/>
                <w:kern w:val="0"/>
                <w:sz w:val="18"/>
                <w:szCs w:val="18"/>
              </w:rPr>
              <w:t>指标1：研发银屑病外用治疗方案</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1套</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1套</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w:t>
            </w:r>
          </w:p>
        </w:tc>
        <w:tc>
          <w:tcPr>
            <w:tcW w:w="70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w:t>
            </w: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69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周冬梅</w:t>
            </w:r>
            <w:r>
              <w:rPr>
                <w:rFonts w:ascii="宋体" w:hAnsi="宋体" w:cs="宋体"/>
                <w:color w:val="000000"/>
                <w:kern w:val="0"/>
                <w:sz w:val="18"/>
                <w:szCs w:val="18"/>
              </w:rPr>
              <w:t>：</w:t>
            </w:r>
            <w:r>
              <w:rPr>
                <w:rFonts w:hint="eastAsia" w:ascii="宋体" w:hAnsi="宋体" w:cs="宋体"/>
                <w:color w:val="000000"/>
                <w:kern w:val="0"/>
                <w:sz w:val="18"/>
                <w:szCs w:val="18"/>
              </w:rPr>
              <w:t>指标1：从血论治规范化治疗优化方案/中医药联合生物制剂治疗斑块性银屑病的专家共识应用病例数量</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100例</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专家共识尚在筹备阶段</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0.5</w:t>
            </w:r>
          </w:p>
        </w:tc>
        <w:tc>
          <w:tcPr>
            <w:tcW w:w="70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专家共识尚在筹备阶段</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无</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无</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82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092"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李彬</w:t>
            </w:r>
            <w:r>
              <w:rPr>
                <w:rFonts w:ascii="宋体" w:hAnsi="宋体" w:cs="宋体"/>
                <w:color w:val="000000"/>
                <w:kern w:val="0"/>
                <w:sz w:val="18"/>
                <w:szCs w:val="18"/>
              </w:rPr>
              <w:t>：</w:t>
            </w:r>
            <w:r>
              <w:rPr>
                <w:rFonts w:hint="eastAsia" w:ascii="宋体" w:hAnsi="宋体" w:cs="宋体"/>
                <w:color w:val="000000"/>
                <w:kern w:val="0"/>
                <w:sz w:val="18"/>
                <w:szCs w:val="18"/>
              </w:rPr>
              <w:t>研究/参与人员/领导满意度</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w:t>
            </w:r>
            <w:r>
              <w:rPr>
                <w:rFonts w:ascii="宋体" w:hAnsi="宋体" w:cs="宋体"/>
                <w:kern w:val="0"/>
                <w:sz w:val="18"/>
                <w:szCs w:val="18"/>
              </w:rPr>
              <w:t>5</w:t>
            </w:r>
            <w:r>
              <w:rPr>
                <w:rFonts w:hint="eastAsia" w:ascii="宋体" w:hAnsi="宋体" w:cs="宋体"/>
                <w:kern w:val="0"/>
                <w:sz w:val="18"/>
                <w:szCs w:val="18"/>
              </w:rPr>
              <w:t>%</w:t>
            </w:r>
          </w:p>
        </w:tc>
        <w:tc>
          <w:tcPr>
            <w:tcW w:w="93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w:t>
            </w:r>
            <w:r>
              <w:rPr>
                <w:rFonts w:ascii="宋体" w:hAnsi="宋体" w:cs="宋体"/>
                <w:kern w:val="0"/>
                <w:sz w:val="18"/>
                <w:szCs w:val="18"/>
              </w:rPr>
              <w:t>5</w:t>
            </w:r>
            <w:r>
              <w:rPr>
                <w:rFonts w:hint="eastAsia" w:ascii="宋体" w:hAnsi="宋体" w:cs="宋体"/>
                <w:kern w:val="0"/>
                <w:sz w:val="18"/>
                <w:szCs w:val="18"/>
              </w:rPr>
              <w:t>%</w:t>
            </w:r>
          </w:p>
        </w:tc>
        <w:tc>
          <w:tcPr>
            <w:tcW w:w="7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w:t>
            </w:r>
          </w:p>
        </w:tc>
        <w:tc>
          <w:tcPr>
            <w:tcW w:w="70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w:t>
            </w: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6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受试者满意度</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w:t>
            </w:r>
            <w:r>
              <w:rPr>
                <w:rFonts w:ascii="宋体" w:hAnsi="宋体" w:cs="宋体"/>
                <w:kern w:val="0"/>
                <w:sz w:val="18"/>
                <w:szCs w:val="18"/>
              </w:rPr>
              <w:t>5</w:t>
            </w:r>
            <w:r>
              <w:rPr>
                <w:rFonts w:hint="eastAsia" w:ascii="宋体" w:hAnsi="宋体" w:cs="宋体"/>
                <w:kern w:val="0"/>
                <w:sz w:val="18"/>
                <w:szCs w:val="18"/>
              </w:rPr>
              <w:t>%</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w:t>
            </w:r>
            <w:r>
              <w:rPr>
                <w:rFonts w:ascii="宋体" w:hAnsi="宋体" w:cs="宋体"/>
                <w:kern w:val="0"/>
                <w:sz w:val="18"/>
                <w:szCs w:val="18"/>
              </w:rPr>
              <w:t>5</w:t>
            </w:r>
            <w:r>
              <w:rPr>
                <w:rFonts w:hint="eastAsia" w:ascii="宋体" w:hAnsi="宋体" w:cs="宋体"/>
                <w:kern w:val="0"/>
                <w:sz w:val="18"/>
                <w:szCs w:val="18"/>
              </w:rPr>
              <w:t>%</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w:t>
            </w:r>
          </w:p>
        </w:tc>
        <w:tc>
          <w:tcPr>
            <w:tcW w:w="70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w:t>
            </w: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66" w:hRule="exact"/>
          <w:jc w:val="center"/>
        </w:trPr>
        <w:tc>
          <w:tcPr>
            <w:tcW w:w="578" w:type="dxa"/>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李萍</w:t>
            </w:r>
            <w:r>
              <w:rPr>
                <w:rFonts w:ascii="宋体" w:hAnsi="宋体" w:cs="宋体"/>
                <w:color w:val="000000"/>
                <w:kern w:val="0"/>
                <w:sz w:val="18"/>
                <w:szCs w:val="18"/>
              </w:rPr>
              <w:t>：</w:t>
            </w:r>
            <w:r>
              <w:rPr>
                <w:rFonts w:hint="eastAsia" w:ascii="宋体" w:hAnsi="宋体" w:cs="宋体"/>
                <w:color w:val="000000"/>
                <w:kern w:val="0"/>
                <w:sz w:val="18"/>
                <w:szCs w:val="18"/>
              </w:rPr>
              <w:t>指标1：受试者满意度</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达85%</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未上临床</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w:t>
            </w:r>
          </w:p>
        </w:tc>
        <w:tc>
          <w:tcPr>
            <w:tcW w:w="70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尚未进行动物皮肤刺激性等研究</w:t>
            </w:r>
          </w:p>
        </w:tc>
      </w:tr>
      <w:tr>
        <w:tblPrEx>
          <w:tblCellMar>
            <w:top w:w="0" w:type="dxa"/>
            <w:left w:w="108" w:type="dxa"/>
            <w:bottom w:w="0" w:type="dxa"/>
            <w:right w:w="108" w:type="dxa"/>
          </w:tblCellMar>
        </w:tblPrEx>
        <w:trPr>
          <w:trHeight w:val="766" w:hRule="exact"/>
          <w:jc w:val="center"/>
        </w:trPr>
        <w:tc>
          <w:tcPr>
            <w:tcW w:w="578" w:type="dxa"/>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周冬梅</w:t>
            </w:r>
            <w:r>
              <w:rPr>
                <w:rFonts w:ascii="宋体" w:hAnsi="宋体" w:cs="宋体"/>
                <w:color w:val="000000"/>
                <w:kern w:val="0"/>
                <w:sz w:val="18"/>
                <w:szCs w:val="18"/>
              </w:rPr>
              <w:t>：</w:t>
            </w:r>
            <w:r>
              <w:rPr>
                <w:rFonts w:hint="eastAsia" w:ascii="宋体" w:hAnsi="宋体" w:cs="宋体"/>
                <w:color w:val="000000"/>
                <w:kern w:val="0"/>
                <w:sz w:val="18"/>
                <w:szCs w:val="18"/>
              </w:rPr>
              <w:t>指标1：中医药治疗寻常型银屑病优化方案参与人员满意度</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90%</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92%</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w:t>
            </w:r>
          </w:p>
        </w:tc>
        <w:tc>
          <w:tcPr>
            <w:tcW w:w="708"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ascii="宋体" w:hAnsi="宋体" w:cs="宋体"/>
                <w:kern w:val="0"/>
                <w:sz w:val="18"/>
                <w:szCs w:val="18"/>
              </w:rPr>
              <w:t>2</w:t>
            </w: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r>
      <w:tr>
        <w:tblPrEx>
          <w:tblCellMar>
            <w:top w:w="0" w:type="dxa"/>
            <w:left w:w="108" w:type="dxa"/>
            <w:bottom w:w="0" w:type="dxa"/>
            <w:right w:w="108" w:type="dxa"/>
          </w:tblCellMar>
        </w:tblPrEx>
        <w:trPr>
          <w:trHeight w:val="1655" w:hRule="exact"/>
          <w:jc w:val="center"/>
        </w:trPr>
        <w:tc>
          <w:tcPr>
            <w:tcW w:w="578" w:type="dxa"/>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指标2：中医药联合生物制剂治疗寻常型银屑病的临床疗效研究受试者满意度 </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90%</w:t>
            </w:r>
          </w:p>
        </w:tc>
        <w:tc>
          <w:tcPr>
            <w:tcW w:w="93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研究即将展开，受试者满意度有待统计</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w:t>
            </w:r>
          </w:p>
        </w:tc>
        <w:tc>
          <w:tcPr>
            <w:tcW w:w="708"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ascii="宋体" w:hAnsi="宋体" w:cs="宋体"/>
                <w:kern w:val="0"/>
                <w:sz w:val="18"/>
                <w:szCs w:val="18"/>
              </w:rPr>
              <w:t>0</w:t>
            </w: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疫情原因受试者招募存在一定阻力</w:t>
            </w:r>
          </w:p>
        </w:tc>
      </w:tr>
      <w:tr>
        <w:tblPrEx>
          <w:tblCellMar>
            <w:top w:w="0" w:type="dxa"/>
            <w:left w:w="108" w:type="dxa"/>
            <w:bottom w:w="0" w:type="dxa"/>
            <w:right w:w="108" w:type="dxa"/>
          </w:tblCellMar>
        </w:tblPrEx>
        <w:trPr>
          <w:trHeight w:val="550" w:hRule="exact"/>
          <w:jc w:val="center"/>
        </w:trPr>
        <w:tc>
          <w:tcPr>
            <w:tcW w:w="6516"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r>
              <w:rPr>
                <w:rFonts w:ascii="宋体" w:hAnsi="宋体" w:cs="宋体"/>
                <w:color w:val="000000"/>
                <w:kern w:val="0"/>
                <w:sz w:val="18"/>
                <w:szCs w:val="18"/>
              </w:rPr>
              <w:t>00</w:t>
            </w:r>
          </w:p>
        </w:tc>
        <w:tc>
          <w:tcPr>
            <w:tcW w:w="70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90.6</w:t>
            </w: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pPr>
        <w:rPr>
          <w:rFonts w:hint="eastAsia"/>
        </w:rPr>
      </w:pPr>
      <w:bookmarkStart w:id="0" w:name="_GoBack"/>
      <w:bookmarkEnd w:id="0"/>
    </w:p>
    <w:sectPr>
      <w:footerReference r:id="rId5" w:type="first"/>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5</w:t>
    </w:r>
    <w:r>
      <w:rPr>
        <w:rFonts w:ascii="宋体" w:hAnsi="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3C5"/>
    <w:rsid w:val="0000264B"/>
    <w:rsid w:val="00026F3F"/>
    <w:rsid w:val="0004460C"/>
    <w:rsid w:val="00060017"/>
    <w:rsid w:val="00061403"/>
    <w:rsid w:val="00062654"/>
    <w:rsid w:val="000A5BF3"/>
    <w:rsid w:val="000E431E"/>
    <w:rsid w:val="000E5D6F"/>
    <w:rsid w:val="00151DBE"/>
    <w:rsid w:val="00157BBD"/>
    <w:rsid w:val="00163B88"/>
    <w:rsid w:val="001A4621"/>
    <w:rsid w:val="001F4195"/>
    <w:rsid w:val="00203997"/>
    <w:rsid w:val="00210347"/>
    <w:rsid w:val="002350A5"/>
    <w:rsid w:val="00261EC6"/>
    <w:rsid w:val="002C10B0"/>
    <w:rsid w:val="002C7E2D"/>
    <w:rsid w:val="003316C0"/>
    <w:rsid w:val="00335420"/>
    <w:rsid w:val="003D3D07"/>
    <w:rsid w:val="004210D2"/>
    <w:rsid w:val="00442E20"/>
    <w:rsid w:val="00482CE3"/>
    <w:rsid w:val="004C5D22"/>
    <w:rsid w:val="004E423A"/>
    <w:rsid w:val="004E5CEE"/>
    <w:rsid w:val="00513142"/>
    <w:rsid w:val="005206BA"/>
    <w:rsid w:val="00521937"/>
    <w:rsid w:val="00542516"/>
    <w:rsid w:val="005463E1"/>
    <w:rsid w:val="005727B5"/>
    <w:rsid w:val="005B3DE1"/>
    <w:rsid w:val="005C613F"/>
    <w:rsid w:val="005C67B6"/>
    <w:rsid w:val="005D6528"/>
    <w:rsid w:val="005E5299"/>
    <w:rsid w:val="006052E8"/>
    <w:rsid w:val="00617FC9"/>
    <w:rsid w:val="00657164"/>
    <w:rsid w:val="007260B2"/>
    <w:rsid w:val="00760351"/>
    <w:rsid w:val="0077151A"/>
    <w:rsid w:val="007B30BB"/>
    <w:rsid w:val="00855F5C"/>
    <w:rsid w:val="00857931"/>
    <w:rsid w:val="0089691D"/>
    <w:rsid w:val="008B6634"/>
    <w:rsid w:val="008E7AC8"/>
    <w:rsid w:val="00936DA6"/>
    <w:rsid w:val="00950726"/>
    <w:rsid w:val="009B6113"/>
    <w:rsid w:val="009C7523"/>
    <w:rsid w:val="00A06E66"/>
    <w:rsid w:val="00A131A3"/>
    <w:rsid w:val="00A877F5"/>
    <w:rsid w:val="00A92D9D"/>
    <w:rsid w:val="00AA26D7"/>
    <w:rsid w:val="00AA449C"/>
    <w:rsid w:val="00AD4ECF"/>
    <w:rsid w:val="00B454E6"/>
    <w:rsid w:val="00B80864"/>
    <w:rsid w:val="00BB7B8A"/>
    <w:rsid w:val="00BC72E6"/>
    <w:rsid w:val="00BF23C5"/>
    <w:rsid w:val="00C03ADC"/>
    <w:rsid w:val="00C24417"/>
    <w:rsid w:val="00C54875"/>
    <w:rsid w:val="00C70B7D"/>
    <w:rsid w:val="00C93D98"/>
    <w:rsid w:val="00CA5A26"/>
    <w:rsid w:val="00CB2A51"/>
    <w:rsid w:val="00CD4050"/>
    <w:rsid w:val="00CE2D44"/>
    <w:rsid w:val="00D078CD"/>
    <w:rsid w:val="00D33CB1"/>
    <w:rsid w:val="00D34AB4"/>
    <w:rsid w:val="00D37DF4"/>
    <w:rsid w:val="00D63DAC"/>
    <w:rsid w:val="00D6777C"/>
    <w:rsid w:val="00D83C67"/>
    <w:rsid w:val="00DE5017"/>
    <w:rsid w:val="00E26B2F"/>
    <w:rsid w:val="00E30625"/>
    <w:rsid w:val="00E95EDC"/>
    <w:rsid w:val="00ED6602"/>
    <w:rsid w:val="00F13D4A"/>
    <w:rsid w:val="00F905A7"/>
    <w:rsid w:val="00FB2703"/>
    <w:rsid w:val="00FE15AA"/>
    <w:rsid w:val="05EB5DF2"/>
    <w:rsid w:val="70792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uiPriority w:val="99"/>
    <w:rPr>
      <w:rFonts w:ascii="Times New Roman" w:hAnsi="Times New Roman" w:eastAsia="宋体" w:cs="Times New Roman"/>
      <w:sz w:val="18"/>
      <w:szCs w:val="18"/>
    </w:rPr>
  </w:style>
  <w:style w:type="character" w:customStyle="1" w:styleId="7">
    <w:name w:val="页眉 Char"/>
    <w:basedOn w:val="5"/>
    <w:link w:val="3"/>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3693</Words>
  <Characters>3997</Characters>
  <Lines>34</Lines>
  <Paragraphs>9</Paragraphs>
  <TotalTime>30</TotalTime>
  <ScaleCrop>false</ScaleCrop>
  <LinksUpToDate>false</LinksUpToDate>
  <CharactersWithSpaces>4056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2022-04-20T07:02:00Z</dcterms:created>
  <dc:creator>Administrator</dc:creator>
  <cp:lastModifiedBy>fzdmark</cp:lastModifiedBy>
  <dcterms:modified xsi:type="dcterms:W3CDTF">2022-04-22T02:08:34Z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508973B53BA6407FBFFCC2EC93047B65</vt:lpwstr>
  </property>
</Properties>
</file>