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widowControl/>
        <w:spacing w:line="240" w:lineRule="exact"/>
        <w:jc w:val="left"/>
        <w:rPr>
          <w:rFonts w:ascii="宋体" w:hAnsi="宋体" w:cs="宋体"/>
          <w:kern w:val="0"/>
          <w:sz w:val="18"/>
          <w:szCs w:val="18"/>
        </w:rPr>
      </w:pPr>
    </w:p>
    <w:tbl>
      <w:tblPr>
        <w:tblStyle w:val="5"/>
        <w:tblW w:w="5000" w:type="pct"/>
        <w:jc w:val="center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605"/>
        <w:gridCol w:w="241"/>
        <w:gridCol w:w="299"/>
        <w:gridCol w:w="1004"/>
        <w:gridCol w:w="299"/>
        <w:gridCol w:w="991"/>
        <w:gridCol w:w="1328"/>
        <w:gridCol w:w="1117"/>
        <w:gridCol w:w="328"/>
        <w:gridCol w:w="70"/>
        <w:gridCol w:w="635"/>
        <w:gridCol w:w="204"/>
        <w:gridCol w:w="685"/>
        <w:gridCol w:w="74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 2021 年度）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234" w:type="pct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医疗服务与保障能力提升补助资金（中医药事业传承与发展部分）（其他商品和服务支出）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18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475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18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刘清泉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475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87906036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5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8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12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288.847</w:t>
            </w:r>
          </w:p>
        </w:tc>
        <w:tc>
          <w:tcPr>
            <w:tcW w:w="7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288.847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242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618344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89%</w:t>
            </w:r>
          </w:p>
        </w:tc>
        <w:tc>
          <w:tcPr>
            <w:tcW w:w="912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8.9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288.847</w:t>
            </w:r>
          </w:p>
        </w:tc>
        <w:tc>
          <w:tcPr>
            <w:tcW w:w="7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288.847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242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618344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2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2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6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55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2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666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046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5" w:hRule="exact"/>
          <w:jc w:val="center"/>
        </w:trPr>
        <w:tc>
          <w:tcPr>
            <w:tcW w:w="2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66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目标1：继续开展中医药传承与创新“百千万”人才工程，支持西学中骨干人才、中医药创新骨干人培养。继续支持2018年全国名老中医、2019年全国名老中医药专家传承工作室、中医学术流派传承工作室第二轮建设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目标2：开展治未病健康工程，提升省级治未病中心能力。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目标3：组织开展中医药传统知识收集整理工作。</w:t>
            </w:r>
          </w:p>
        </w:tc>
        <w:tc>
          <w:tcPr>
            <w:tcW w:w="2046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目标1.已完成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目标2.制定并完善治未病服务标准、规范及指南，开展治未病技术方法研究和创新；加强高层次治未病专业人才培养；促进中医治未病服务内涵和技术方法不断丰富，服务质量不断提高；为本院其它科室未病服务提供指导和示范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目标3.围绕重点病种开展疗效评价技术和方法学培训。依托重点病种临床和科研优势，进行相关疾病疗效评价工作，形成重点病种评价报告。搭建临床评价研究体系，优化疗效评价技术和方法，为持续开展综合性、纵深性研究提供技术支撑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8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30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30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培养西学中骨干人才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培养中医药创新骨干人才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建设全国名老中医传承工作室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建设全国名老中医药专家传承工作室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建设中医学术流派传承工作室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建设省级治未病中心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提升中医临床疗效评价能力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传统知识收集整理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≥36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质量指标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西学中骨干人才-培养合格率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95%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lang w:bidi="ar"/>
              </w:rPr>
              <w:t>95%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中医药创新骨干人才-培养合格率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95%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lang w:bidi="ar"/>
              </w:rPr>
              <w:t>95%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建设全国名老中医传承工作室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每个工作室发表论文≥2篇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每个工作室发表论文≥2篇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建设全国名老中医药专家传承工作室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每个工作室区域外患者就诊比例≥30%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每个工作室区域外患者就诊比例≥30%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建设中医学术流派传承工作室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每个工作室示范门诊内流派特色技术应用率≥80%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每个工作室示范门诊内流派特色技术应用率≥80%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建设省级治未病中心-制定治未病标准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≥2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建设省级治未病中心-开展人才培养培训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≥200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完成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建设省级治未病中心-举办科普宣传体验活动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≥2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提升中医临床疗效评价能力-培训人数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≥3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10人完成3个月以上脱产培训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提升中医临床疗效评价能力-重点病种评价报告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≥3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重点病种评价报告3个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传统知识收集整理-数据库收录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≥36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进度指标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项目周期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完成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及时完成率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≥85%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成本指标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培训标准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550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严格控制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成本控制有效性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严格采购程序，按照财政有关经费标准执行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严格采购程序，按照财政有关经费标准执行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效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果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指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标</w:t>
            </w:r>
          </w:p>
        </w:tc>
        <w:tc>
          <w:tcPr>
            <w:tcW w:w="30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效益指标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中医药人才技术水平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明显提高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完成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中医药治未病服务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进一步推广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完成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人民群众中医药服务获得感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提高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完成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中医药服务能力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提高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完成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满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意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度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指</w:t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标</w:t>
            </w:r>
          </w:p>
        </w:tc>
        <w:tc>
          <w:tcPr>
            <w:tcW w:w="30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服务对象满意度指标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患者满意度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≥80%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≥80%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8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0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民众调查满意度</w:t>
            </w:r>
          </w:p>
        </w:tc>
        <w:tc>
          <w:tcPr>
            <w:tcW w:w="14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≥90%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  <w:t>≥90%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3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663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4"/>
                <w:lang w:bidi="ar"/>
              </w:rPr>
              <w:t>总分</w:t>
            </w:r>
          </w:p>
        </w:tc>
        <w:tc>
          <w:tcPr>
            <w:tcW w:w="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100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hint="eastAsia" w:ascii="Arial" w:hAnsi="Arial" w:cs="Arial"/>
                <w:color w:val="000000"/>
                <w:sz w:val="24"/>
              </w:rPr>
              <w:t>98.9</w:t>
            </w:r>
          </w:p>
        </w:tc>
        <w:tc>
          <w:tcPr>
            <w:tcW w:w="4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</w:rPr>
            </w:pPr>
          </w:p>
        </w:tc>
      </w:tr>
      <w:bookmarkEnd w:id="0"/>
    </w:tbl>
    <w:p>
      <w:pPr>
        <w:rPr>
          <w:rFonts w:ascii="黑体" w:hAnsi="黑体" w:eastAsia="黑体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MTFhYzYwODJjMTRhZmNmOGZhOGExNDAzZWNlZmQifQ=="/>
  </w:docVars>
  <w:rsids>
    <w:rsidRoot w:val="00BF23C5"/>
    <w:rsid w:val="00097669"/>
    <w:rsid w:val="00194403"/>
    <w:rsid w:val="001A4621"/>
    <w:rsid w:val="001A6F42"/>
    <w:rsid w:val="001E2B5F"/>
    <w:rsid w:val="001F1E4A"/>
    <w:rsid w:val="002535F2"/>
    <w:rsid w:val="003E623F"/>
    <w:rsid w:val="004F1F8F"/>
    <w:rsid w:val="005B2299"/>
    <w:rsid w:val="006C6323"/>
    <w:rsid w:val="008E1BA4"/>
    <w:rsid w:val="00914345"/>
    <w:rsid w:val="009E1234"/>
    <w:rsid w:val="00BF23C5"/>
    <w:rsid w:val="00C24417"/>
    <w:rsid w:val="00D11899"/>
    <w:rsid w:val="00D666A3"/>
    <w:rsid w:val="00D80BBE"/>
    <w:rsid w:val="00DA5CEA"/>
    <w:rsid w:val="00DD0292"/>
    <w:rsid w:val="00E35EDF"/>
    <w:rsid w:val="2EB40EB4"/>
    <w:rsid w:val="3C2B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sz w:val="24"/>
    </w:rPr>
  </w:style>
  <w:style w:type="character" w:customStyle="1" w:styleId="7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1244</Words>
  <Characters>1369</Characters>
  <Lines>12</Lines>
  <Paragraphs>3</Paragraphs>
  <TotalTime>3</TotalTime>
  <ScaleCrop>false</ScaleCrop>
  <LinksUpToDate>false</LinksUpToDate>
  <CharactersWithSpaces>1383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2022-04-08T01:21:00Z</dcterms:created>
  <dc:creator>Administrator</dc:creator>
  <cp:lastModifiedBy>LIN</cp:lastModifiedBy>
  <dcterms:modified xsi:type="dcterms:W3CDTF">2022-06-07T04:42:37Z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5F0C197A53D0410B9DC5A89A9B719966</vt:lpwstr>
  </property>
</Properties>
</file>