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3F" w:rsidRDefault="00A1073F" w:rsidP="00A1073F">
      <w:pPr>
        <w:adjustRightInd w:val="0"/>
        <w:snapToGrid w:val="0"/>
        <w:spacing w:line="360" w:lineRule="auto"/>
        <w:jc w:val="center"/>
        <w:rPr>
          <w:rFonts w:ascii="仿宋_GB2312" w:eastAsia="仿宋_GB2312" w:hAnsi="仿宋_GB2312" w:cs="仿宋_GB2312" w:hint="eastAsia"/>
          <w:sz w:val="32"/>
          <w:szCs w:val="32"/>
        </w:rPr>
      </w:pPr>
    </w:p>
    <w:p w:rsidR="00A1073F" w:rsidRDefault="00A1073F" w:rsidP="00A1073F">
      <w:pPr>
        <w:adjustRightInd w:val="0"/>
        <w:snapToGrid w:val="0"/>
        <w:spacing w:line="360" w:lineRule="auto"/>
        <w:jc w:val="center"/>
        <w:rPr>
          <w:rFonts w:ascii="仿宋_GB2312" w:eastAsia="仿宋_GB2312" w:hAnsi="仿宋_GB2312" w:cs="仿宋_GB2312" w:hint="eastAsia"/>
          <w:sz w:val="32"/>
          <w:szCs w:val="32"/>
        </w:rPr>
      </w:pPr>
    </w:p>
    <w:p w:rsidR="00A1073F" w:rsidRDefault="00A1073F" w:rsidP="00A1073F">
      <w:pPr>
        <w:adjustRightInd w:val="0"/>
        <w:snapToGrid w:val="0"/>
        <w:spacing w:line="360" w:lineRule="auto"/>
        <w:jc w:val="center"/>
        <w:rPr>
          <w:rFonts w:ascii="仿宋_GB2312" w:eastAsia="仿宋_GB2312" w:hAnsi="仿宋_GB2312" w:cs="仿宋_GB2312" w:hint="eastAsia"/>
          <w:sz w:val="32"/>
          <w:szCs w:val="32"/>
        </w:rPr>
      </w:pPr>
    </w:p>
    <w:p w:rsidR="00A1073F" w:rsidRDefault="00A1073F" w:rsidP="00A1073F">
      <w:pPr>
        <w:adjustRightInd w:val="0"/>
        <w:snapToGrid w:val="0"/>
        <w:spacing w:line="360" w:lineRule="auto"/>
        <w:jc w:val="center"/>
        <w:rPr>
          <w:rFonts w:ascii="仿宋_GB2312" w:eastAsia="仿宋_GB2312" w:hAnsi="仿宋_GB2312" w:cs="仿宋_GB2312" w:hint="eastAsia"/>
          <w:sz w:val="32"/>
          <w:szCs w:val="32"/>
        </w:rPr>
      </w:pPr>
    </w:p>
    <w:p w:rsidR="00A1073F" w:rsidRDefault="00A1073F" w:rsidP="00A1073F">
      <w:pPr>
        <w:adjustRightInd w:val="0"/>
        <w:snapToGrid w:val="0"/>
        <w:spacing w:line="360" w:lineRule="auto"/>
        <w:jc w:val="center"/>
        <w:rPr>
          <w:rFonts w:ascii="仿宋_GB2312" w:eastAsia="仿宋_GB2312" w:hAnsi="仿宋_GB2312" w:cs="仿宋_GB2312" w:hint="eastAsia"/>
          <w:sz w:val="32"/>
          <w:szCs w:val="32"/>
        </w:rPr>
      </w:pPr>
    </w:p>
    <w:p w:rsidR="00A1073F" w:rsidRDefault="00A1073F" w:rsidP="00A1073F">
      <w:pPr>
        <w:adjustRightInd w:val="0"/>
        <w:snapToGrid w:val="0"/>
        <w:spacing w:line="360" w:lineRule="auto"/>
        <w:jc w:val="center"/>
        <w:rPr>
          <w:rFonts w:ascii="仿宋_GB2312" w:eastAsia="仿宋_GB2312" w:hAnsi="仿宋_GB2312" w:cs="仿宋_GB2312" w:hint="eastAsia"/>
          <w:sz w:val="32"/>
          <w:szCs w:val="32"/>
        </w:rPr>
      </w:pPr>
    </w:p>
    <w:p w:rsidR="00A1073F" w:rsidRDefault="00A1073F" w:rsidP="00A1073F">
      <w:pPr>
        <w:adjustRightInd w:val="0"/>
        <w:snapToGrid w:val="0"/>
        <w:spacing w:line="360" w:lineRule="auto"/>
        <w:jc w:val="center"/>
        <w:rPr>
          <w:rFonts w:ascii="仿宋_GB2312" w:eastAsia="仿宋_GB2312" w:hAnsi="仿宋_GB2312" w:cs="仿宋_GB2312" w:hint="eastAsia"/>
          <w:sz w:val="32"/>
          <w:szCs w:val="32"/>
        </w:rPr>
      </w:pPr>
    </w:p>
    <w:p w:rsidR="00A1073F" w:rsidRDefault="00A1073F" w:rsidP="00A1073F">
      <w:pPr>
        <w:adjustRightInd w:val="0"/>
        <w:snapToGrid w:val="0"/>
        <w:spacing w:beforeLines="10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京卫规划﹝2017﹞13号</w:t>
      </w:r>
    </w:p>
    <w:p w:rsidR="00A1073F" w:rsidRDefault="00A1073F" w:rsidP="00A1073F">
      <w:pPr>
        <w:adjustRightInd w:val="0"/>
        <w:snapToGrid w:val="0"/>
        <w:spacing w:line="360" w:lineRule="auto"/>
        <w:jc w:val="center"/>
        <w:rPr>
          <w:rFonts w:ascii="仿宋_GB2312" w:eastAsia="仿宋_GB2312" w:hAnsi="仿宋_GB2312" w:cs="仿宋_GB2312" w:hint="eastAsia"/>
          <w:sz w:val="32"/>
          <w:szCs w:val="32"/>
        </w:rPr>
      </w:pPr>
    </w:p>
    <w:p w:rsidR="00A1073F" w:rsidRDefault="00A1073F" w:rsidP="00A1073F">
      <w:pPr>
        <w:adjustRightInd w:val="0"/>
        <w:snapToGrid w:val="0"/>
        <w:spacing w:line="360" w:lineRule="auto"/>
        <w:ind w:firstLineChars="200" w:firstLine="640"/>
        <w:jc w:val="center"/>
        <w:rPr>
          <w:rFonts w:ascii="仿宋_GB2312" w:eastAsia="仿宋_GB2312" w:hAnsi="仿宋_GB2312" w:cs="仿宋_GB2312" w:hint="eastAsia"/>
          <w:sz w:val="32"/>
          <w:szCs w:val="32"/>
        </w:rPr>
      </w:pPr>
    </w:p>
    <w:p w:rsidR="00A1073F" w:rsidRDefault="00A1073F" w:rsidP="00A1073F">
      <w:pPr>
        <w:adjustRightInd w:val="0"/>
        <w:snapToGrid w:val="0"/>
        <w:spacing w:line="30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北京市卫生和计划生育委员会</w:t>
      </w:r>
    </w:p>
    <w:p w:rsidR="00A1073F" w:rsidRDefault="00A1073F" w:rsidP="00A1073F">
      <w:pPr>
        <w:adjustRightInd w:val="0"/>
        <w:snapToGrid w:val="0"/>
        <w:spacing w:line="30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关于开展北京市医药分开综合改革</w:t>
      </w:r>
    </w:p>
    <w:p w:rsidR="00A1073F" w:rsidRDefault="00A1073F" w:rsidP="00A1073F">
      <w:pPr>
        <w:adjustRightInd w:val="0"/>
        <w:snapToGrid w:val="0"/>
        <w:spacing w:line="300" w:lineRule="auto"/>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监测工作的通知</w:t>
      </w:r>
    </w:p>
    <w:p w:rsidR="00A1073F" w:rsidRDefault="00A1073F" w:rsidP="00A1073F">
      <w:pPr>
        <w:adjustRightInd w:val="0"/>
        <w:snapToGrid w:val="0"/>
        <w:spacing w:line="360" w:lineRule="auto"/>
        <w:ind w:firstLineChars="200" w:firstLine="640"/>
        <w:jc w:val="left"/>
        <w:rPr>
          <w:rFonts w:ascii="仿宋_GB2312" w:eastAsia="仿宋_GB2312" w:hAnsi="仿宋_GB2312" w:cs="仿宋_GB2312" w:hint="eastAsia"/>
          <w:sz w:val="32"/>
          <w:szCs w:val="32"/>
        </w:rPr>
      </w:pPr>
    </w:p>
    <w:p w:rsidR="00A1073F" w:rsidRDefault="00A1073F" w:rsidP="00A1073F">
      <w:pPr>
        <w:adjustRightInd w:val="0"/>
        <w:snapToGrid w:val="0"/>
        <w:spacing w:line="360" w:lineRule="auto"/>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市中医局、市医管局，各区卫生计生委，市公共卫生信息中心，各有关医疗机构：</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为系统掌握本市医药分开改革措施的落实情况，及时了解动态趋势，</w:t>
      </w:r>
      <w:r>
        <w:rPr>
          <w:rFonts w:ascii="仿宋_GB2312" w:eastAsia="仿宋_GB2312" w:hAnsi="仿宋_GB2312" w:cs="仿宋_GB2312" w:hint="eastAsia"/>
          <w:sz w:val="32"/>
          <w:szCs w:val="32"/>
          <w:shd w:val="clear" w:color="auto" w:fill="FFFFFF"/>
        </w:rPr>
        <w:t>根据北京市人民政府《关于印发医药分开综合改革实施</w:t>
      </w:r>
      <w:r>
        <w:rPr>
          <w:rFonts w:ascii="仿宋_GB2312" w:eastAsia="仿宋_GB2312" w:hAnsi="仿宋_GB2312" w:cs="仿宋_GB2312" w:hint="eastAsia"/>
          <w:sz w:val="32"/>
          <w:szCs w:val="32"/>
          <w:shd w:val="clear" w:color="auto" w:fill="FFFFFF"/>
        </w:rPr>
        <w:lastRenderedPageBreak/>
        <w:t>方案的通知》（京政发〔2017〕11号）要求，建立医药分开综合改革监测工作，</w:t>
      </w:r>
      <w:r>
        <w:rPr>
          <w:rFonts w:ascii="仿宋_GB2312" w:eastAsia="仿宋_GB2312" w:hAnsi="仿宋_GB2312" w:cs="仿宋_GB2312" w:hint="eastAsia"/>
          <w:sz w:val="32"/>
          <w:szCs w:val="32"/>
        </w:rPr>
        <w:t>现将有关事项通知如下</w:t>
      </w:r>
      <w:r>
        <w:rPr>
          <w:rFonts w:ascii="仿宋_GB2312" w:eastAsia="仿宋_GB2312" w:hAnsi="仿宋_GB2312" w:cs="仿宋_GB2312" w:hint="eastAsia"/>
          <w:bCs/>
          <w:sz w:val="32"/>
          <w:szCs w:val="32"/>
        </w:rPr>
        <w:t>：</w:t>
      </w:r>
    </w:p>
    <w:p w:rsidR="00A1073F" w:rsidRDefault="00A1073F" w:rsidP="00A1073F">
      <w:pPr>
        <w:adjustRightInd w:val="0"/>
        <w:snapToGrid w:val="0"/>
        <w:spacing w:line="360" w:lineRule="auto"/>
        <w:rPr>
          <w:rFonts w:ascii="仿宋_GB2312" w:eastAsia="仿宋_GB2312" w:hAnsi="仿宋_GB2312" w:cs="仿宋_GB2312" w:hint="eastAsia"/>
          <w:b/>
          <w:bCs/>
          <w:sz w:val="32"/>
          <w:szCs w:val="32"/>
        </w:rPr>
      </w:pPr>
      <w:r>
        <w:rPr>
          <w:rFonts w:ascii="仿宋_GB2312" w:eastAsia="仿宋_GB2312" w:hAnsi="仿宋_GB2312" w:cs="仿宋_GB2312" w:hint="eastAsia"/>
          <w:bCs/>
          <w:sz w:val="32"/>
          <w:szCs w:val="32"/>
        </w:rPr>
        <w:t xml:space="preserve">    </w:t>
      </w:r>
      <w:r>
        <w:rPr>
          <w:rFonts w:ascii="黑体" w:eastAsia="黑体" w:hAnsi="黑体" w:cs="黑体" w:hint="eastAsia"/>
          <w:bCs/>
          <w:sz w:val="32"/>
          <w:szCs w:val="32"/>
        </w:rPr>
        <w:t>一、监测单位</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参加医药分开综合改革的三级和二级医院、部分一级医院及社区卫生服务中心，共计223家监测单位。具体名单详见附件1。</w:t>
      </w:r>
    </w:p>
    <w:p w:rsidR="00A1073F" w:rsidRDefault="00A1073F" w:rsidP="00A1073F">
      <w:pPr>
        <w:adjustRightInd w:val="0"/>
        <w:snapToGrid w:val="0"/>
        <w:spacing w:line="360" w:lineRule="auto"/>
        <w:rPr>
          <w:rFonts w:ascii="仿宋_GB2312" w:eastAsia="仿宋_GB2312" w:hAnsi="仿宋_GB2312" w:cs="仿宋_GB2312" w:hint="eastAsia"/>
          <w:b/>
          <w:bCs/>
          <w:sz w:val="32"/>
          <w:szCs w:val="32"/>
        </w:rPr>
      </w:pPr>
      <w:r>
        <w:rPr>
          <w:rFonts w:ascii="仿宋_GB2312" w:eastAsia="仿宋_GB2312" w:hAnsi="仿宋_GB2312" w:cs="仿宋_GB2312" w:hint="eastAsia"/>
          <w:bCs/>
          <w:sz w:val="32"/>
          <w:szCs w:val="32"/>
        </w:rPr>
        <w:t xml:space="preserve">    </w:t>
      </w:r>
      <w:r>
        <w:rPr>
          <w:rFonts w:ascii="黑体" w:eastAsia="黑体" w:hAnsi="黑体" w:cs="黑体" w:hint="eastAsia"/>
          <w:bCs/>
          <w:sz w:val="32"/>
          <w:szCs w:val="32"/>
        </w:rPr>
        <w:t>二、监测内容</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 xml:space="preserve">本次监测内容包括医疗资源、服务量及医院收支情况三个部分。监测频度采取日报、周报及月报三种方式。详见附件2-1：《改革监测日/周报表》、附件2-2：《改革监测月报表》；附件3：《改革监测病种周/月报表》；附件4：《改革监测药品周/月报表》。 </w:t>
      </w:r>
    </w:p>
    <w:p w:rsidR="00A1073F" w:rsidRDefault="00A1073F" w:rsidP="00A1073F">
      <w:pPr>
        <w:adjustRightInd w:val="0"/>
        <w:snapToGrid w:val="0"/>
        <w:spacing w:line="360" w:lineRule="auto"/>
        <w:rPr>
          <w:rFonts w:ascii="仿宋_GB2312" w:eastAsia="仿宋_GB2312" w:hAnsi="仿宋_GB2312" w:cs="仿宋_GB2312" w:hint="eastAsia"/>
          <w:b/>
          <w:bCs/>
          <w:sz w:val="32"/>
          <w:szCs w:val="32"/>
        </w:rPr>
      </w:pPr>
      <w:r>
        <w:rPr>
          <w:rFonts w:ascii="仿宋_GB2312" w:eastAsia="仿宋_GB2312" w:hAnsi="仿宋_GB2312" w:cs="仿宋_GB2312" w:hint="eastAsia"/>
          <w:bCs/>
          <w:sz w:val="32"/>
          <w:szCs w:val="32"/>
        </w:rPr>
        <w:t xml:space="preserve">   </w:t>
      </w:r>
      <w:r>
        <w:rPr>
          <w:rFonts w:ascii="黑体" w:eastAsia="黑体" w:hAnsi="黑体" w:cs="黑体" w:hint="eastAsia"/>
          <w:bCs/>
          <w:sz w:val="32"/>
          <w:szCs w:val="32"/>
        </w:rPr>
        <w:t xml:space="preserve"> 三、上报方式</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各监测单位登录北京市卫生综合统计信息平台（网址：http：//210.75.201.217/bjhbstat），通过网络上报方式，在医院信息化支持下将改革监测数据导入平台完成上报。</w:t>
      </w:r>
    </w:p>
    <w:p w:rsidR="00A1073F" w:rsidRDefault="00A1073F" w:rsidP="00A1073F">
      <w:pPr>
        <w:adjustRightInd w:val="0"/>
        <w:snapToGrid w:val="0"/>
        <w:spacing w:line="360" w:lineRule="auto"/>
        <w:rPr>
          <w:rFonts w:ascii="仿宋_GB2312" w:eastAsia="仿宋_GB2312" w:hAnsi="仿宋_GB2312" w:cs="仿宋_GB2312" w:hint="eastAsia"/>
          <w:b/>
          <w:bCs/>
          <w:sz w:val="32"/>
          <w:szCs w:val="32"/>
        </w:rPr>
      </w:pPr>
      <w:r>
        <w:rPr>
          <w:rFonts w:ascii="仿宋_GB2312" w:eastAsia="仿宋_GB2312" w:hAnsi="仿宋_GB2312" w:cs="仿宋_GB2312" w:hint="eastAsia"/>
          <w:bCs/>
          <w:sz w:val="32"/>
          <w:szCs w:val="32"/>
        </w:rPr>
        <w:t xml:space="preserve">    </w:t>
      </w:r>
      <w:r>
        <w:rPr>
          <w:rFonts w:ascii="黑体" w:eastAsia="黑体" w:hAnsi="黑体" w:cs="黑体" w:hint="eastAsia"/>
          <w:bCs/>
          <w:sz w:val="32"/>
          <w:szCs w:val="32"/>
        </w:rPr>
        <w:t>四、历史数据上报</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2017年3月20日至3月31日期间，各监测单位登陆北京市卫生综合统计信息平台进行历史数据的上传，具体要求如下：</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1.各监测单位按附件2-1《改革监测日/周报表》生成2016年4月的每日日报数据文件。</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2.各监测单位按附件4《改革监测药品周/月报表》生成2016</w:t>
      </w:r>
      <w:r>
        <w:rPr>
          <w:rFonts w:ascii="仿宋_GB2312" w:eastAsia="仿宋_GB2312" w:hAnsi="仿宋_GB2312" w:cs="仿宋_GB2312" w:hint="eastAsia"/>
          <w:sz w:val="32"/>
          <w:szCs w:val="32"/>
        </w:rPr>
        <w:lastRenderedPageBreak/>
        <w:t>年4月药品月报数据文件。</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3.各监测单位按附件2-2《改革监测月报表》生成2016年1-12月和2017年1-2月的每月月报数据文件。2017年3月数据于2017年4月3日前上报完成。</w:t>
      </w:r>
    </w:p>
    <w:p w:rsidR="00A1073F" w:rsidRDefault="00A1073F" w:rsidP="00A1073F">
      <w:pPr>
        <w:adjustRightInd w:val="0"/>
        <w:snapToGrid w:val="0"/>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4.没有信息系统的监测单位按照上述要求进行手工填报。</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5.3月31日前，各区卫生计生委登录平台完成对行政区域内监测单位历史数据的审核工作。</w:t>
      </w:r>
    </w:p>
    <w:p w:rsidR="00A1073F" w:rsidRDefault="00A1073F" w:rsidP="00A1073F">
      <w:pPr>
        <w:adjustRightInd w:val="0"/>
        <w:snapToGrid w:val="0"/>
        <w:spacing w:line="360" w:lineRule="auto"/>
        <w:rPr>
          <w:rFonts w:ascii="仿宋_GB2312" w:eastAsia="仿宋_GB2312" w:hAnsi="仿宋_GB2312" w:cs="仿宋_GB2312" w:hint="eastAsia"/>
          <w:b/>
          <w:bCs/>
          <w:sz w:val="32"/>
          <w:szCs w:val="32"/>
        </w:rPr>
      </w:pPr>
      <w:r>
        <w:rPr>
          <w:rFonts w:ascii="仿宋_GB2312" w:eastAsia="仿宋_GB2312" w:hAnsi="仿宋_GB2312" w:cs="仿宋_GB2312" w:hint="eastAsia"/>
          <w:bCs/>
          <w:sz w:val="32"/>
          <w:szCs w:val="32"/>
        </w:rPr>
        <w:t xml:space="preserve">    </w:t>
      </w:r>
      <w:r>
        <w:rPr>
          <w:rFonts w:ascii="黑体" w:eastAsia="黑体" w:hAnsi="黑体" w:cs="黑体" w:hint="eastAsia"/>
          <w:bCs/>
          <w:sz w:val="32"/>
          <w:szCs w:val="32"/>
        </w:rPr>
        <w:t>五、正式上报及频次</w:t>
      </w:r>
    </w:p>
    <w:p w:rsidR="00A1073F" w:rsidRDefault="00A1073F" w:rsidP="00A1073F">
      <w:pPr>
        <w:adjustRightInd w:val="0"/>
        <w:snapToGrid w:val="0"/>
        <w:spacing w:line="36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监测工作自2017年4月8日正式启动。分为日报、周报和月报三种方式。</w:t>
      </w:r>
    </w:p>
    <w:p w:rsidR="00A1073F" w:rsidRDefault="00A1073F" w:rsidP="00A1073F">
      <w:pPr>
        <w:adjustRightInd w:val="0"/>
        <w:snapToGrid w:val="0"/>
        <w:spacing w:line="36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日报：2017年4月8日各监测单位应于16：00前上报当日00：00至15：00的监测数据；2017年4月9日起，各监测单位于每日9：00前上报前一日00：00至24时的监测数据（附件2-1）。实行日报约2周后改为周报（附件2-1、附件3、附件4）。</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周报：每周一早9：00前上报前一周监测数据。持续周报约2个月改为月报（附件2-2、附件3、附件4）</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月报：每月3日前上报上月数据。 </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由日报调整为周报、周报调整为月报的具体时间另行通知。</w:t>
      </w:r>
    </w:p>
    <w:p w:rsidR="00A1073F" w:rsidRDefault="00A1073F" w:rsidP="00A1073F">
      <w:pPr>
        <w:adjustRightInd w:val="0"/>
        <w:snapToGrid w:val="0"/>
        <w:spacing w:line="360" w:lineRule="auto"/>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 xml:space="preserve">    </w:t>
      </w:r>
      <w:r>
        <w:rPr>
          <w:rFonts w:ascii="黑体" w:eastAsia="黑体" w:hAnsi="黑体" w:cs="黑体" w:hint="eastAsia"/>
          <w:bCs/>
          <w:sz w:val="32"/>
          <w:szCs w:val="32"/>
        </w:rPr>
        <w:t>六、工作分工</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各监测单位负责直接登录平台进行数据上报；各区卫生计生</w:t>
      </w:r>
      <w:r>
        <w:rPr>
          <w:rFonts w:ascii="仿宋_GB2312" w:eastAsia="仿宋_GB2312" w:hAnsi="仿宋_GB2312" w:cs="仿宋_GB2312" w:hint="eastAsia"/>
          <w:sz w:val="32"/>
          <w:szCs w:val="32"/>
        </w:rPr>
        <w:lastRenderedPageBreak/>
        <w:t>委负责督促行政区域内监测单位的上报工作并审核上报的数据；市公共卫生信息中心负责汇总、整理全部监测单位数据并将有关分析情况于当日或周内、月内及时报市卫生计生委。</w:t>
      </w:r>
    </w:p>
    <w:p w:rsidR="00A1073F" w:rsidRDefault="00A1073F" w:rsidP="00A1073F">
      <w:pPr>
        <w:adjustRightInd w:val="0"/>
        <w:snapToGrid w:val="0"/>
        <w:spacing w:line="360" w:lineRule="auto"/>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 xml:space="preserve">    </w:t>
      </w:r>
      <w:r>
        <w:rPr>
          <w:rFonts w:ascii="黑体" w:eastAsia="黑体" w:hAnsi="黑体" w:cs="黑体" w:hint="eastAsia"/>
          <w:bCs/>
          <w:sz w:val="32"/>
          <w:szCs w:val="32"/>
        </w:rPr>
        <w:t>七、工作要求</w:t>
      </w:r>
    </w:p>
    <w:p w:rsidR="00A1073F" w:rsidRDefault="00A1073F" w:rsidP="00A1073F">
      <w:pPr>
        <w:adjustRightInd w:val="0"/>
        <w:snapToGrid w:val="0"/>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各有关单位应当加强领导，高度重视医药分开综合改革监测工作。实施医药分开综合改革是市委市政府的重大决策，是改善民生的重要部署。各区卫生计生委要切实履行属地管理责任，督促区域内监测单位做好改革监测有关工作。各监测单位应当按照要求，及时、准确、完整地上报信息，加强审核工作，确保信息质量。</w:t>
      </w:r>
    </w:p>
    <w:p w:rsidR="00A1073F" w:rsidRDefault="00A1073F" w:rsidP="00A1073F">
      <w:pPr>
        <w:adjustRightInd w:val="0"/>
        <w:snapToGrid w:val="0"/>
        <w:spacing w:line="360" w:lineRule="auto"/>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二）各区卫生计生委和监测单位指定专人负责数据审核及上报工作，并于2017年3月23日前，将本单位专门负责此项工作的联系人信息（见附件5）报至北京市公共卫生信息中心（联系电话：63028892、63020042，传真：63020045，邮箱：wsjtjs@126.com）。</w:t>
      </w:r>
      <w:r>
        <w:rPr>
          <w:rFonts w:ascii="仿宋_GB2312" w:eastAsia="仿宋_GB2312" w:hAnsi="仿宋_GB2312" w:cs="仿宋_GB2312" w:hint="eastAsia"/>
          <w:color w:val="000000"/>
          <w:sz w:val="32"/>
          <w:szCs w:val="32"/>
        </w:rPr>
        <w:t>各监测单位应按照通知要求于每日9：00前（2017年4月8日除外）完成本单位数据上报工作；各区卫生计生委应于每日10：00（2017年4月8日除外）前完成本辖区数据审核工作。</w:t>
      </w:r>
    </w:p>
    <w:p w:rsidR="00A1073F" w:rsidRDefault="00A1073F" w:rsidP="00A1073F">
      <w:pPr>
        <w:adjustRightInd w:val="0"/>
        <w:snapToGrid w:val="0"/>
        <w:spacing w:line="360" w:lineRule="auto"/>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（三）北京市公共卫生信息中心依托北京市公共卫生信息统计平台，开发改革监测信息平台。负责收集、审核、汇总各区卫</w:t>
      </w:r>
      <w:r>
        <w:rPr>
          <w:rFonts w:ascii="仿宋_GB2312" w:eastAsia="仿宋_GB2312" w:hAnsi="仿宋_GB2312" w:cs="仿宋_GB2312" w:hint="eastAsia"/>
          <w:sz w:val="32"/>
          <w:szCs w:val="32"/>
        </w:rPr>
        <w:lastRenderedPageBreak/>
        <w:t>生计生委审核上报的监测信息；做好监测信息填报的技术培训工作。根据改革需要，适时完善平台，对接各医疗机构信息系统，实现诊疗等基础信息采集、自动汇总的功能。</w:t>
      </w:r>
    </w:p>
    <w:p w:rsidR="00A1073F" w:rsidRDefault="00A1073F" w:rsidP="00A1073F">
      <w:pPr>
        <w:adjustRightInd w:val="0"/>
        <w:snapToGrid w:val="0"/>
        <w:spacing w:line="360" w:lineRule="auto"/>
        <w:jc w:val="left"/>
        <w:rPr>
          <w:rFonts w:ascii="仿宋_GB2312" w:eastAsia="仿宋_GB2312" w:hAnsi="仿宋_GB2312" w:cs="仿宋_GB2312" w:hint="eastAsia"/>
          <w:sz w:val="32"/>
          <w:szCs w:val="32"/>
        </w:rPr>
      </w:pP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附件：1.监测单位名单</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2-1.改革监测日/周报表</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color w:val="FF0000"/>
          <w:sz w:val="32"/>
          <w:szCs w:val="32"/>
        </w:rPr>
      </w:pPr>
      <w:r>
        <w:rPr>
          <w:rFonts w:ascii="仿宋_GB2312" w:eastAsia="仿宋_GB2312" w:hAnsi="仿宋_GB2312" w:cs="仿宋_GB2312" w:hint="eastAsia"/>
          <w:sz w:val="32"/>
          <w:szCs w:val="32"/>
        </w:rPr>
        <w:t xml:space="preserve">      2-2.改革监测月报表</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3.改革监测病种周/月报表</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color w:val="FF0000"/>
          <w:sz w:val="32"/>
          <w:szCs w:val="32"/>
        </w:rPr>
      </w:pPr>
      <w:r>
        <w:rPr>
          <w:rFonts w:ascii="仿宋_GB2312" w:eastAsia="仿宋_GB2312" w:hAnsi="仿宋_GB2312" w:cs="仿宋_GB2312" w:hint="eastAsia"/>
          <w:sz w:val="32"/>
          <w:szCs w:val="32"/>
        </w:rPr>
        <w:t xml:space="preserve">      4.改革监测药品周/月报表</w:t>
      </w:r>
    </w:p>
    <w:p w:rsidR="00A1073F" w:rsidRDefault="00A1073F" w:rsidP="00A1073F">
      <w:pPr>
        <w:adjustRightInd w:val="0"/>
        <w:snapToGrid w:val="0"/>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5.联系人回执</w:t>
      </w:r>
    </w:p>
    <w:p w:rsidR="00A1073F" w:rsidRDefault="00A1073F" w:rsidP="00A1073F">
      <w:pPr>
        <w:adjustRightInd w:val="0"/>
        <w:snapToGrid w:val="0"/>
        <w:spacing w:line="360" w:lineRule="auto"/>
        <w:ind w:firstLineChars="200" w:firstLine="640"/>
        <w:jc w:val="center"/>
        <w:rPr>
          <w:rFonts w:ascii="仿宋_GB2312" w:eastAsia="仿宋_GB2312" w:hAnsi="仿宋_GB2312" w:cs="仿宋_GB2312" w:hint="eastAsia"/>
          <w:sz w:val="32"/>
          <w:szCs w:val="32"/>
        </w:rPr>
      </w:pPr>
    </w:p>
    <w:p w:rsidR="00A1073F" w:rsidRDefault="00A1073F" w:rsidP="00A1073F">
      <w:pPr>
        <w:adjustRightInd w:val="0"/>
        <w:snapToGrid w:val="0"/>
        <w:spacing w:line="360" w:lineRule="auto"/>
        <w:ind w:firstLineChars="200" w:firstLine="640"/>
        <w:jc w:val="center"/>
        <w:rPr>
          <w:rFonts w:ascii="仿宋_GB2312" w:eastAsia="仿宋_GB2312" w:hAnsi="仿宋_GB2312" w:cs="仿宋_GB2312" w:hint="eastAsia"/>
          <w:sz w:val="32"/>
          <w:szCs w:val="32"/>
        </w:rPr>
      </w:pPr>
    </w:p>
    <w:p w:rsidR="00A1073F" w:rsidRDefault="00A1073F" w:rsidP="00A1073F">
      <w:pPr>
        <w:adjustRightInd w:val="0"/>
        <w:snapToGrid w:val="0"/>
        <w:spacing w:line="360" w:lineRule="auto"/>
        <w:ind w:firstLineChars="200" w:firstLine="64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北京市卫生和计划生育委员会</w:t>
      </w:r>
    </w:p>
    <w:p w:rsidR="00A1073F" w:rsidRDefault="00A1073F" w:rsidP="00A1073F">
      <w:pPr>
        <w:adjustRightInd w:val="0"/>
        <w:snapToGrid w:val="0"/>
        <w:spacing w:line="360" w:lineRule="auto"/>
        <w:ind w:firstLineChars="200" w:firstLine="64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2017年3月22日  </w:t>
      </w:r>
    </w:p>
    <w:p w:rsidR="00A1073F" w:rsidRDefault="00A1073F" w:rsidP="00A1073F">
      <w:pPr>
        <w:jc w:val="center"/>
        <w:rPr>
          <w:rFonts w:ascii="仿宋" w:eastAsia="仿宋" w:hAnsi="仿宋" w:cs="方正小标宋简体"/>
          <w:sz w:val="32"/>
          <w:szCs w:val="32"/>
        </w:rPr>
      </w:pPr>
    </w:p>
    <w:p w:rsidR="00A1073F" w:rsidRDefault="00A1073F" w:rsidP="00A1073F">
      <w:pPr>
        <w:rPr>
          <w:rFonts w:ascii="仿宋" w:eastAsia="仿宋" w:hAnsi="仿宋" w:cs="方正小标宋简体"/>
          <w:sz w:val="32"/>
          <w:szCs w:val="32"/>
        </w:rPr>
      </w:pPr>
    </w:p>
    <w:p w:rsidR="00A1073F" w:rsidRDefault="00A1073F" w:rsidP="00A1073F">
      <w:pPr>
        <w:rPr>
          <w:rFonts w:ascii="仿宋" w:eastAsia="仿宋" w:hAnsi="仿宋" w:cs="方正小标宋简体"/>
          <w:sz w:val="32"/>
          <w:szCs w:val="32"/>
        </w:rPr>
      </w:pPr>
    </w:p>
    <w:p w:rsidR="00A1073F" w:rsidRDefault="00A1073F" w:rsidP="00A1073F">
      <w:pPr>
        <w:rPr>
          <w:rFonts w:ascii="仿宋_GB2312" w:eastAsia="仿宋_GB2312" w:hAnsi="仿宋_GB2312" w:cs="仿宋_GB2312" w:hint="eastAsia"/>
          <w:sz w:val="28"/>
          <w:szCs w:val="28"/>
          <w:u w:val="single"/>
        </w:rPr>
      </w:pPr>
    </w:p>
    <w:p w:rsidR="00A1073F" w:rsidRDefault="00A1073F" w:rsidP="00A1073F">
      <w:pPr>
        <w:rPr>
          <w:rFonts w:ascii="仿宋_GB2312" w:eastAsia="仿宋_GB2312" w:hAnsi="仿宋_GB2312" w:cs="仿宋_GB2312" w:hint="eastAsia"/>
          <w:sz w:val="28"/>
          <w:szCs w:val="28"/>
          <w:u w:val="single"/>
        </w:rPr>
      </w:pPr>
    </w:p>
    <w:p w:rsidR="00A1073F" w:rsidRDefault="00A1073F" w:rsidP="00A1073F">
      <w:pPr>
        <w:rPr>
          <w:rFonts w:ascii="黑体" w:eastAsia="黑体" w:hAnsi="黑体" w:hint="eastAsia"/>
          <w:bCs/>
          <w:sz w:val="32"/>
          <w:szCs w:val="32"/>
        </w:rPr>
      </w:pPr>
    </w:p>
    <w:p w:rsidR="00A1073F" w:rsidRDefault="00A1073F" w:rsidP="00A1073F">
      <w:pPr>
        <w:rPr>
          <w:rFonts w:ascii="黑体" w:eastAsia="黑体" w:hAnsi="黑体" w:hint="eastAsia"/>
          <w:bCs/>
          <w:sz w:val="32"/>
          <w:szCs w:val="32"/>
        </w:rPr>
      </w:pPr>
    </w:p>
    <w:p w:rsidR="00A1073F" w:rsidRDefault="00A1073F" w:rsidP="00A1073F">
      <w:pPr>
        <w:rPr>
          <w:rFonts w:ascii="黑体" w:eastAsia="黑体" w:hAnsi="黑体" w:hint="eastAsia"/>
          <w:bCs/>
          <w:sz w:val="32"/>
          <w:szCs w:val="32"/>
        </w:rPr>
      </w:pPr>
      <w:r>
        <w:rPr>
          <w:rFonts w:ascii="黑体" w:eastAsia="黑体" w:hAnsi="黑体" w:hint="eastAsia"/>
          <w:bCs/>
          <w:sz w:val="32"/>
          <w:szCs w:val="32"/>
        </w:rPr>
        <w:t>附件1</w:t>
      </w:r>
    </w:p>
    <w:p w:rsidR="00A1073F" w:rsidRDefault="00A1073F" w:rsidP="00A1073F">
      <w:pPr>
        <w:ind w:leftChars="-202" w:left="-424"/>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监测单位名单</w:t>
      </w:r>
    </w:p>
    <w:tbl>
      <w:tblPr>
        <w:tblW w:w="0" w:type="auto"/>
        <w:jc w:val="center"/>
        <w:tblLayout w:type="fixed"/>
        <w:tblLook w:val="0000"/>
      </w:tblPr>
      <w:tblGrid>
        <w:gridCol w:w="709"/>
        <w:gridCol w:w="4395"/>
        <w:gridCol w:w="1138"/>
        <w:gridCol w:w="2689"/>
        <w:gridCol w:w="709"/>
      </w:tblGrid>
      <w:tr w:rsidR="00A1073F" w:rsidTr="002A3C2C">
        <w:trPr>
          <w:trHeight w:val="270"/>
          <w:jc w:val="center"/>
        </w:trPr>
        <w:tc>
          <w:tcPr>
            <w:tcW w:w="709" w:type="dxa"/>
            <w:tcBorders>
              <w:top w:val="single" w:sz="4" w:space="0" w:color="auto"/>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序号</w:t>
            </w:r>
          </w:p>
        </w:tc>
        <w:tc>
          <w:tcPr>
            <w:tcW w:w="4395" w:type="dxa"/>
            <w:tcBorders>
              <w:top w:val="single" w:sz="4" w:space="0" w:color="auto"/>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机构名称</w:t>
            </w:r>
          </w:p>
        </w:tc>
        <w:tc>
          <w:tcPr>
            <w:tcW w:w="1138" w:type="dxa"/>
            <w:tcBorders>
              <w:top w:val="single" w:sz="4" w:space="0" w:color="auto"/>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区县</w:t>
            </w:r>
          </w:p>
        </w:tc>
        <w:tc>
          <w:tcPr>
            <w:tcW w:w="2689" w:type="dxa"/>
            <w:tcBorders>
              <w:top w:val="single" w:sz="4" w:space="0" w:color="auto"/>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性质</w:t>
            </w:r>
          </w:p>
        </w:tc>
        <w:tc>
          <w:tcPr>
            <w:tcW w:w="709" w:type="dxa"/>
            <w:tcBorders>
              <w:top w:val="single" w:sz="4" w:space="0" w:color="auto"/>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北京回龙观医院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昌平区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北京清华长庚医院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昌平区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北京市昌平区医院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昌平区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北京市昌平区中西医结合医院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昌平区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A3.中西医结合医院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北京市昌平区中医医院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昌平区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北京小汤山医院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昌平区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北京华信医院（清华大学第一附属医院）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北京市垂杨柳医院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北京市第一中西医结合医院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A3.中西医结合医院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北京中医药大学第三附属医院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A3.中西医结合医院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航空总医院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煤炭总医院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民航总医院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首都儿科研究所附属儿童医院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首都医科大学附属北京安贞医院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首都医科大学附属北京朝阳医院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首都医科大学附属北京地坛医院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中国医学科学院肿瘤医院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中国中医科学院望京医院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中日友好医院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中国人民武装警察部队北京市总队医院(简称“北京总队医院”)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北京市红十字会急诊抢救中心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北京市公安医院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第306医院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北京市大兴区人民医院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大兴区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北京市大兴区中西医结合医院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大兴区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A3.中西医结合医院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中国中医科学院广安门医院南区</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大兴区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北京市和平里医院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A3.中西医结合医院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北京中医药大学东直门医院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30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首都医科大学附属北京妇产医院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lastRenderedPageBreak/>
              <w:t>31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首都医科大学附属北京口腔医院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32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首都医科大学附属北京天坛医院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33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首都医科大学附属北京同仁医院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34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首都医科大学附属北京中医医院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35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中国医学科学院北京协和医院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36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37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陆军总医院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38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北京市房山区良乡医院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房山区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39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北京市房山区中医医院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房山区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40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北京市丰台中西医结合医院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A3.中西医结合医院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41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北京中医药大学东方医院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42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国家电网公司北京电力医院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43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首都医科大学附属北京佑安医院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44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中国康复研究中心-北京博爱医院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45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中国人民武装警察部队北京市总队第三医院（简称“北京总队第三医院”）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46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第302医院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47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第307医院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48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北京大学第六医院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49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北京大学第三医院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50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北京大学口腔医院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51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北京老年医院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52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北京市海淀医院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53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北京肿瘤医院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54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航天中心医院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55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首都医科大学附属北京世纪坛医院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56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中国人民武装警察部队总医院（简称“总医院”）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57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中国中医科学院西苑医院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58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解放军总医院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59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海军总医院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60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空军总医院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61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第304临床部</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62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第309医院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63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第261医院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64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空军载人离心机医学训练基地（原第466医院）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65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北京京煤集团总医院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门头沟区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lastRenderedPageBreak/>
              <w:t>66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北京市平谷区医院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平谷区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67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北京市平谷区中医医院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平谷区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68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北京大学首钢医院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石景山区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69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首都医科大学附属北京康复医院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石景山区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70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中国医学科学院整形外科医院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石景山区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71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中国中医科学院眼科医院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石景山区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72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北京市安康医院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顺义区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73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北京市顺义区医院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顺义区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74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北京市顺义区中医医院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顺义区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75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首都医科大学附属北京潞河医院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通州区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76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首都医科大学附属北京胸科医院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通州区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77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北京大学人民医院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78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北京积水潭医院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79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北京市肛肠医院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A3.中西医结合医院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80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北京市回民医院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A3.中西医结合医院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81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北京市宣武中医医院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82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北京中医药大学附属护国寺中医医院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83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首都医科大学附属北京安定医院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84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首都医科大学附属北京儿童医院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85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首都医科大学附属北京友谊医院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86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首都医科大学附属复兴医院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87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首都医科大学宣武医院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88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中国医学科学院阜外医院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89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中国中医科学院广安门医院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90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北京大学第一医院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91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中国人民武装警察部队北京市总队第二医院（简称“北京总队第二医院”）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92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火箭军总医院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93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第305医院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三级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94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北京民康医院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昌平区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95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北京市昌平区精神卫生保健院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昌平区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96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北京市昌平区南口铁路医院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昌平区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97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北京市昌平区南口医院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昌平区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98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北京市昌平区沙河医院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昌平区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99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北京市朝阳区第三医院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100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北京市朝阳区双桥医院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101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北京市朝阳区中医医院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102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北京市老年病医院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lastRenderedPageBreak/>
              <w:t>103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中国藏学研究中心北京藏医院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A4.民族医院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104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北京市大兴区精神病医院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大兴区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105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国家康复辅具研究中心附属康复医院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大兴区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106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北京市第六医院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107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北京市东城区第一人民医院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108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北京市东城区精神卫生保健院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109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北京市鼓楼中医医院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110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北京市隆福医院（北京市东城区老年病医院）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111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北京市普仁医院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112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北京市房山区第一医院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房山区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113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中国核工业北京四0一医院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房山区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114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北京丰台医院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115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北京航天总医院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116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北京市丰台区南苑医院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117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北京市丰台区铁营医院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118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中国航天科工集团七三一医院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119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北京大学医院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120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北京市上地医院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121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北京市社会福利医院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122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北京市羊坊店医院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123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北京市中关村医院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124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北京市中西医结合医院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A3.中西医结合医院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125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北京水利医院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126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北京四季青医院（北京市海淀区四季青镇社区卫生服务中心）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127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清华大学医院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128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第316医院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129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北京怀柔医院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怀柔区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130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北京市怀柔区第二医院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怀柔区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131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北京市怀柔区中医医院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怀柔区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132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北京市门头沟区龙泉医院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门头沟区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133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北京市门头沟区医院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门头沟区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134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北京市门头沟区斋堂医院（门头沟区斋堂镇社区卫生服务中心）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门头沟区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135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北京市门头沟区中医医院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门头沟区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136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北京市密云区医院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密云区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137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北京市密云区中医医院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密云区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lastRenderedPageBreak/>
              <w:t>138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北京市平谷区精神病医院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平谷区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139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北京市石景山区中医医院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石景山区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140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北京市石景山医院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石景山区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141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清华大学玉泉医院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石景山区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142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北京市顺义区精神病医院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顺义区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143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北京市顺义区空港医院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顺义区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144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北京市通州区新华医院（北京市通州区新华社区卫生服务中心）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通州区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145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北京市通州区中西医结合医院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通州区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A3.中西医结合医院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146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北京市通州区中医医院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通州区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147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第263临床部</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通州区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148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北京按摩医院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149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北京市第二医院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150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北京市丰盛中医骨伤专科医院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151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北京市监狱管理局清河分局医院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152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北京市监狱管理局中心医院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153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北京市西城区广外医院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154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北京市西城区平安医院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155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北京市西城区展览路医院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156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北京市延庆区精神病医院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延庆区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157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北京市延庆区医院（北京大学第三医院延庆医院）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延庆区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158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北京中医医院延庆医院（北京市延庆区中医医院）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延庆区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A2.中医医院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159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北京首都国际机场医院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160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北京丰台右安门医院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161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中国建筑材料科学研究总院管庄东里医院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162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北京中能建医院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房山区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163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北京市木材厂职工医院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164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北京市利康医院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大兴区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A1.综合医院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165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北京市崇文口腔医院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A5.专科医院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166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北京市房山区妇幼保健院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房山区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G1.妇幼保健院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167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北京市海淀区妇幼保健院(北京市海淀区海淀社区卫生服务中心)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G1.妇幼保健院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168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北京市怀柔区妇幼保健院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怀柔区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G1.妇幼保健院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169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北京市昌平区妇幼保健院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昌平区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G1.妇幼保健院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170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北京市通州区妇幼保健院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通州区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G1.妇幼保健院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171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北京市丰台区妇幼保健院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G1.妇幼保健院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172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北京市大兴区妇幼保健院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大兴区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G1.妇幼保健院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lastRenderedPageBreak/>
              <w:t>173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北京市朝阳区妇幼保健院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G1.妇幼保健院</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二级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174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北京市朝阳区劲松社区卫生服务中心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175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北京市朝阳区亚运村社区卫生服务中心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176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北京市密云区鼓楼社区卫生服务中心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密云区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177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北京市密云区果园社区卫生服务中心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密云区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178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北京市海淀区甘家口社区卫生服务中心（北京市海淀区甘家口医院）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179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北京市海淀区中医医院(北京市海淀区双榆树社区卫生服务中心)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180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北京市西城区德胜社区卫生服务中心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181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北京市西城区新街口社区卫生服务中心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182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北京市大兴区亦庄镇社区卫生服务中心（北京市大兴区亦庄医院）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大兴区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183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北京市大兴区旧宫镇社区卫生服务中心（北京市大兴区旧宫医院）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大兴区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184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北京市昌平区回龙观社区卫生服务中心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昌平区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185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北京市昌平区城区社区卫生服务中心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昌平区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186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北京市通州区马驹桥镇马驹桥社区卫生服务中心(北京市通州区第二医院)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通州区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187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北京市通州区张家湾卫生院(北京市通州区张家湾镇张家湾社区卫生服务中心)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通州区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188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北京市房山区窦店镇社区卫生服务中心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房山区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189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北京市房山区韩村河镇社区卫生服务中心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房山区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190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北京市东城区天坛社区卫生服务中心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191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北京市东城区东花市社区卫生服务中心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192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北京市丰台区卢沟桥社区卫生服务中心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193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北京市丰台区方庄社区卫生服务中心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194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北京市石景山区金顶街社区卫生服务中心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石景山区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195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北京市石景山区八宝山社区卫生服务中心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石景山区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196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北京市门头沟区东辛房社区卫生服务中心（北京京煤集团总医院门矿医院）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门头沟区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197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北京市门头沟区大台社区卫生服务中心（北京京煤集团总医院大台医院）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门头沟区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198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北京市顺义区南彩社区卫生服务中心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顺义区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199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北京市顺义区第二医院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顺义区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200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北京市怀柔区龙山街道社区卫生服务中心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怀柔区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201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北京市怀柔区泉河街道社区卫生服务中心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怀柔区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202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北京市平谷区平谷镇卫生院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平谷区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203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北京市平谷区东高村镇中心卫生院</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平谷区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lastRenderedPageBreak/>
              <w:t>204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北京市延庆区永宁镇社区卫生服务中心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延庆区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205</w:t>
            </w:r>
          </w:p>
        </w:tc>
        <w:tc>
          <w:tcPr>
            <w:tcW w:w="4395"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0"/>
                <w:szCs w:val="20"/>
              </w:rPr>
            </w:pPr>
            <w:r>
              <w:rPr>
                <w:rFonts w:ascii="宋体" w:hAnsi="宋体" w:cs="宋体" w:hint="eastAsia"/>
                <w:kern w:val="0"/>
                <w:sz w:val="20"/>
                <w:szCs w:val="20"/>
              </w:rPr>
              <w:t>北京市延庆区南菜园社区卫生服务中心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延庆区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206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北京市朝阳区八里庄第二社区卫生服务中心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207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北京市朝阳区崔各庄社区卫生服务中心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朝阳区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208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北京市大兴区兴丰街道社区卫生服务中心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大兴区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209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北京市通州区永乐店镇永乐店社区卫生服务中心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通州区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210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北京市房山区河北镇社区卫生服务中心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房山区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211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北京市丰台区丰台社区卫生服务中心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丰台区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212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北京市石景山区古城社区卫生服务中心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石景山区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213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北京市海淀区花园路社区卫生服务中心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海淀区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214</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北京市门头沟区永定社区卫生服务中心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门头沟区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215</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北京市顺义区牛栏山社区卫生服务中心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顺义区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216</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北京市昌平区北七家社区卫生服务中心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昌平区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217</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北京市怀柔区怀柔镇社区卫生服务中心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怀柔区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218</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北京市平谷区滨河街道社区卫生服务中心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平谷区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219</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北京市密云区穆家峪镇社区卫生服务中心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密云区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220</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北京市延庆区千家店镇社区卫生服务中心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延庆区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一级</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221</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北京市西城区广外社区卫生服务中心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222</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北京市东城区永定门外社区卫生服务中心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东城区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r w:rsidR="00A1073F" w:rsidTr="002A3C2C">
        <w:trPr>
          <w:trHeight w:val="270"/>
          <w:jc w:val="center"/>
        </w:trPr>
        <w:tc>
          <w:tcPr>
            <w:tcW w:w="709" w:type="dxa"/>
            <w:tcBorders>
              <w:top w:val="nil"/>
              <w:left w:val="single" w:sz="4" w:space="0" w:color="auto"/>
              <w:bottom w:val="single" w:sz="4" w:space="0" w:color="auto"/>
              <w:right w:val="single" w:sz="4" w:space="0" w:color="auto"/>
            </w:tcBorders>
            <w:vAlign w:val="center"/>
          </w:tcPr>
          <w:p w:rsidR="00A1073F" w:rsidRDefault="00A1073F" w:rsidP="002A3C2C">
            <w:pPr>
              <w:widowControl/>
              <w:jc w:val="right"/>
              <w:rPr>
                <w:rFonts w:ascii="宋体" w:hAnsi="宋体" w:cs="宋体"/>
                <w:color w:val="000000"/>
                <w:kern w:val="0"/>
                <w:sz w:val="22"/>
              </w:rPr>
            </w:pPr>
            <w:r>
              <w:rPr>
                <w:rFonts w:ascii="宋体" w:hAnsi="宋体" w:cs="宋体" w:hint="eastAsia"/>
                <w:color w:val="000000"/>
                <w:kern w:val="0"/>
                <w:sz w:val="22"/>
              </w:rPr>
              <w:t>223</w:t>
            </w:r>
          </w:p>
        </w:tc>
        <w:tc>
          <w:tcPr>
            <w:tcW w:w="439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北京市西城区大栅栏社区卫生服务中心</w:t>
            </w:r>
          </w:p>
        </w:tc>
        <w:tc>
          <w:tcPr>
            <w:tcW w:w="11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西城区</w:t>
            </w:r>
          </w:p>
        </w:tc>
        <w:tc>
          <w:tcPr>
            <w:tcW w:w="268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B1.社区卫生服务中心</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未评</w:t>
            </w:r>
          </w:p>
        </w:tc>
      </w:tr>
    </w:tbl>
    <w:p w:rsidR="00A1073F" w:rsidRDefault="00A1073F" w:rsidP="00A1073F">
      <w:pPr>
        <w:rPr>
          <w:rFonts w:ascii="仿宋_GB2312" w:eastAsia="仿宋_GB2312"/>
          <w:b/>
          <w:sz w:val="36"/>
          <w:szCs w:val="36"/>
        </w:rPr>
      </w:pPr>
    </w:p>
    <w:p w:rsidR="00A1073F" w:rsidRDefault="00A1073F" w:rsidP="00A1073F">
      <w:pPr>
        <w:rPr>
          <w:rFonts w:ascii="仿宋_GB2312" w:eastAsia="仿宋_GB2312"/>
          <w:b/>
          <w:sz w:val="32"/>
          <w:szCs w:val="32"/>
        </w:rPr>
      </w:pPr>
    </w:p>
    <w:p w:rsidR="00A1073F" w:rsidRDefault="00A1073F" w:rsidP="00A1073F">
      <w:pPr>
        <w:rPr>
          <w:rFonts w:ascii="仿宋_GB2312" w:eastAsia="仿宋_GB2312"/>
          <w:b/>
          <w:sz w:val="32"/>
          <w:szCs w:val="32"/>
        </w:rPr>
        <w:sectPr w:rsidR="00A1073F">
          <w:headerReference w:type="default" r:id="rId7"/>
          <w:footerReference w:type="default" r:id="rId8"/>
          <w:pgSz w:w="11906" w:h="16838"/>
          <w:pgMar w:top="2098" w:right="1474" w:bottom="1984" w:left="1587" w:header="851" w:footer="1531" w:gutter="0"/>
          <w:pgNumType w:fmt="numberInDash"/>
          <w:cols w:space="720"/>
          <w:docGrid w:type="lines" w:linePitch="318"/>
        </w:sectPr>
      </w:pPr>
    </w:p>
    <w:p w:rsidR="00A1073F" w:rsidRDefault="00A1073F" w:rsidP="00A1073F">
      <w:pPr>
        <w:spacing w:line="400" w:lineRule="exact"/>
        <w:rPr>
          <w:rFonts w:ascii="黑体" w:eastAsia="黑体" w:hAnsi="黑体" w:hint="eastAsia"/>
          <w:bCs/>
          <w:sz w:val="32"/>
          <w:szCs w:val="32"/>
        </w:rPr>
      </w:pPr>
      <w:r>
        <w:rPr>
          <w:rFonts w:ascii="黑体" w:eastAsia="黑体" w:hAnsi="黑体" w:hint="eastAsia"/>
          <w:bCs/>
          <w:sz w:val="32"/>
          <w:szCs w:val="32"/>
        </w:rPr>
        <w:lastRenderedPageBreak/>
        <w:t>附件2-1</w:t>
      </w:r>
    </w:p>
    <w:tbl>
      <w:tblPr>
        <w:tblW w:w="0" w:type="auto"/>
        <w:tblLayout w:type="fixed"/>
        <w:tblLook w:val="0000"/>
      </w:tblPr>
      <w:tblGrid>
        <w:gridCol w:w="436"/>
        <w:gridCol w:w="777"/>
        <w:gridCol w:w="3290"/>
        <w:gridCol w:w="464"/>
        <w:gridCol w:w="2087"/>
        <w:gridCol w:w="5504"/>
        <w:gridCol w:w="1838"/>
        <w:gridCol w:w="425"/>
      </w:tblGrid>
      <w:tr w:rsidR="00A1073F" w:rsidTr="002A3C2C">
        <w:trPr>
          <w:trHeight w:val="531"/>
        </w:trPr>
        <w:tc>
          <w:tcPr>
            <w:tcW w:w="14821" w:type="dxa"/>
            <w:gridSpan w:val="8"/>
            <w:tcBorders>
              <w:top w:val="nil"/>
              <w:left w:val="nil"/>
              <w:bottom w:val="nil"/>
              <w:right w:val="nil"/>
            </w:tcBorders>
            <w:vAlign w:val="center"/>
          </w:tcPr>
          <w:p w:rsidR="00A1073F" w:rsidRDefault="00A1073F" w:rsidP="002A3C2C">
            <w:pPr>
              <w:widowControl/>
              <w:jc w:val="center"/>
              <w:rPr>
                <w:rFonts w:ascii="宋体" w:hAnsi="宋体" w:cs="宋体"/>
                <w:b/>
                <w:bCs/>
                <w:kern w:val="0"/>
                <w:sz w:val="36"/>
                <w:szCs w:val="36"/>
              </w:rPr>
            </w:pPr>
            <w:r>
              <w:rPr>
                <w:rFonts w:ascii="方正小标宋简体" w:eastAsia="方正小标宋简体" w:hAnsi="方正小标宋简体" w:cs="方正小标宋简体" w:hint="eastAsia"/>
                <w:kern w:val="0"/>
                <w:sz w:val="44"/>
                <w:szCs w:val="44"/>
              </w:rPr>
              <w:t>表1  改革监测日/周报表</w:t>
            </w:r>
          </w:p>
        </w:tc>
      </w:tr>
      <w:tr w:rsidR="00A1073F" w:rsidTr="002A3C2C">
        <w:trPr>
          <w:trHeight w:val="797"/>
        </w:trPr>
        <w:tc>
          <w:tcPr>
            <w:tcW w:w="14821" w:type="dxa"/>
            <w:gridSpan w:val="8"/>
            <w:tcBorders>
              <w:top w:val="nil"/>
              <w:left w:val="nil"/>
              <w:bottom w:val="single" w:sz="4" w:space="0" w:color="auto"/>
              <w:right w:val="nil"/>
            </w:tcBorders>
          </w:tcPr>
          <w:p w:rsidR="00A1073F" w:rsidRDefault="00A1073F" w:rsidP="002A3C2C">
            <w:pPr>
              <w:widowControl/>
              <w:jc w:val="left"/>
              <w:rPr>
                <w:rFonts w:ascii="宋体" w:hAnsi="宋体" w:cs="宋体"/>
                <w:b/>
                <w:bCs/>
                <w:kern w:val="0"/>
                <w:sz w:val="36"/>
                <w:szCs w:val="36"/>
              </w:rPr>
            </w:pPr>
            <w:r>
              <w:rPr>
                <w:rFonts w:ascii="宋体" w:hAnsi="宋体" w:cs="宋体" w:hint="eastAsia"/>
                <w:b/>
                <w:bCs/>
                <w:kern w:val="0"/>
                <w:sz w:val="22"/>
              </w:rPr>
              <w:t xml:space="preserve"> 数据来源：报表中所有数据均来源于各单位HIS系统的信息汇总。</w:t>
            </w:r>
            <w:r>
              <w:rPr>
                <w:rFonts w:ascii="宋体" w:hAnsi="宋体" w:cs="宋体" w:hint="eastAsia"/>
                <w:b/>
                <w:bCs/>
                <w:kern w:val="0"/>
                <w:sz w:val="22"/>
              </w:rPr>
              <w:br/>
              <w:t xml:space="preserve"> 数据口径：报表中所有数据均不含特需、干部保健和体检;并且门急诊的收入和工作量不包含急诊留观视同住院患者的数据。</w:t>
            </w:r>
            <w:r>
              <w:rPr>
                <w:rFonts w:ascii="宋体" w:hAnsi="宋体" w:cs="宋体" w:hint="eastAsia"/>
                <w:b/>
                <w:bCs/>
                <w:kern w:val="0"/>
                <w:sz w:val="36"/>
                <w:szCs w:val="36"/>
              </w:rPr>
              <w:t xml:space="preserve"> </w:t>
            </w:r>
          </w:p>
        </w:tc>
      </w:tr>
      <w:tr w:rsidR="00A1073F" w:rsidTr="002A3C2C">
        <w:trPr>
          <w:trHeight w:val="494"/>
        </w:trPr>
        <w:tc>
          <w:tcPr>
            <w:tcW w:w="436"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项目</w:t>
            </w: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序号</w:t>
            </w:r>
          </w:p>
        </w:tc>
        <w:tc>
          <w:tcPr>
            <w:tcW w:w="3290" w:type="dxa"/>
            <w:tcBorders>
              <w:top w:val="nil"/>
              <w:left w:val="nil"/>
              <w:bottom w:val="single" w:sz="4" w:space="0" w:color="auto"/>
              <w:right w:val="nil"/>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指标名称</w:t>
            </w:r>
          </w:p>
        </w:tc>
        <w:tc>
          <w:tcPr>
            <w:tcW w:w="464" w:type="dxa"/>
            <w:tcBorders>
              <w:top w:val="nil"/>
              <w:left w:val="single" w:sz="4" w:space="0" w:color="auto"/>
              <w:bottom w:val="single" w:sz="4" w:space="0" w:color="auto"/>
              <w:right w:val="nil"/>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值</w:t>
            </w:r>
          </w:p>
        </w:tc>
        <w:tc>
          <w:tcPr>
            <w:tcW w:w="2087" w:type="dxa"/>
            <w:tcBorders>
              <w:top w:val="nil"/>
              <w:left w:val="single" w:sz="4" w:space="0" w:color="auto"/>
              <w:bottom w:val="single" w:sz="4" w:space="0" w:color="auto"/>
              <w:right w:val="nil"/>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逻辑校验</w:t>
            </w:r>
          </w:p>
        </w:tc>
        <w:tc>
          <w:tcPr>
            <w:tcW w:w="5504"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说明</w:t>
            </w:r>
          </w:p>
        </w:tc>
        <w:tc>
          <w:tcPr>
            <w:tcW w:w="183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备注</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单位</w:t>
            </w:r>
          </w:p>
        </w:tc>
      </w:tr>
      <w:tr w:rsidR="00A1073F" w:rsidTr="002A3C2C">
        <w:trPr>
          <w:trHeight w:val="319"/>
        </w:trPr>
        <w:tc>
          <w:tcPr>
            <w:tcW w:w="436" w:type="dxa"/>
            <w:vMerge w:val="restart"/>
            <w:tcBorders>
              <w:top w:val="nil"/>
              <w:left w:val="single" w:sz="4" w:space="0" w:color="auto"/>
              <w:bottom w:val="single" w:sz="4" w:space="0" w:color="000000"/>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收入情况</w:t>
            </w: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门急诊收入</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1≥2+7+8+10+13+14</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期内实收的门急诊病人总费用</w:t>
            </w:r>
          </w:p>
        </w:tc>
        <w:tc>
          <w:tcPr>
            <w:tcW w:w="1838" w:type="dxa"/>
            <w:vMerge w:val="restart"/>
            <w:tcBorders>
              <w:top w:val="nil"/>
              <w:left w:val="single" w:sz="4" w:space="0" w:color="auto"/>
              <w:bottom w:val="single" w:sz="4" w:space="0" w:color="000000"/>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门急诊HIS系统一定时期内（日/周）实收的实收费用（患者期内已缴纳的费用）</w:t>
            </w:r>
          </w:p>
        </w:tc>
        <w:tc>
          <w:tcPr>
            <w:tcW w:w="425" w:type="dxa"/>
            <w:vMerge w:val="restart"/>
            <w:tcBorders>
              <w:top w:val="nil"/>
              <w:left w:val="single" w:sz="4" w:space="0" w:color="auto"/>
              <w:bottom w:val="single" w:sz="4" w:space="0" w:color="000000"/>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元</w:t>
            </w: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门诊医事服务费收入（挂号，诊疗费）</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2=3+4+5+6</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期内实收的门诊医事服务费总计</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w:t>
            </w:r>
          </w:p>
        </w:tc>
        <w:tc>
          <w:tcPr>
            <w:tcW w:w="3290"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普通号门诊医事服务费收入</w:t>
            </w:r>
          </w:p>
        </w:tc>
        <w:tc>
          <w:tcPr>
            <w:tcW w:w="46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期内实收的普通号门诊医事服务费总计</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4</w:t>
            </w:r>
          </w:p>
        </w:tc>
        <w:tc>
          <w:tcPr>
            <w:tcW w:w="3290"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副主任医师门诊医事服务费收入</w:t>
            </w:r>
          </w:p>
        </w:tc>
        <w:tc>
          <w:tcPr>
            <w:tcW w:w="46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期内实收的副主任医师门诊医事服务费总计</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5</w:t>
            </w:r>
          </w:p>
        </w:tc>
        <w:tc>
          <w:tcPr>
            <w:tcW w:w="3290"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主任医师门诊医事服务费收入</w:t>
            </w:r>
          </w:p>
        </w:tc>
        <w:tc>
          <w:tcPr>
            <w:tcW w:w="46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期内实收的主任医师门诊医事服务费总计</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6</w:t>
            </w:r>
          </w:p>
        </w:tc>
        <w:tc>
          <w:tcPr>
            <w:tcW w:w="3290"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知名专家门诊医事服务费收入</w:t>
            </w:r>
          </w:p>
        </w:tc>
        <w:tc>
          <w:tcPr>
            <w:tcW w:w="46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期内实收的知名专家门诊医事服务费总计</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7</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急诊医事服务费收入</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期内实收的急诊医事服务费总计</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956"/>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8</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药品收入</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8＞9</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期内实收的门急诊药品（西药费、抗菌药物费、白蛋白类制品费、球蛋白类制品费、凝血因子类制品费、细胞因子类制品费、中成药费、中草药费）费用总计</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9</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中草药收入</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期内实收的门急诊中草药费用总计</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638"/>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10</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检查收入</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10≥11+12</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期内实收的门急诊病人检查（一般检查费、核素检查 、超声费、放射费 、病理费）费用总和</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407"/>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11</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CT检查收入</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期内实收的门急诊CT检查总费用</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12</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核磁检查收入</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期内实收的门急诊核磁检查总费用</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638"/>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13</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针灸治疗收入</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期内实收的针灸科门诊收入中针灸收入总计。不分科别的医院则只统计针灸项目收入</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956"/>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14</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按摩（推拿）治疗收入</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期内实收的按摩（推拿）科门诊收入中按摩（推拿）收入总计。不分科别的医院则只统计按摩（推拿）项目收入。</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15</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出院收入（不含在院）</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15＞16+18+19</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期内HIS系统办理出院病人实际应收的医疗费用</w:t>
            </w:r>
          </w:p>
        </w:tc>
        <w:tc>
          <w:tcPr>
            <w:tcW w:w="1838" w:type="dxa"/>
            <w:vMerge w:val="restart"/>
            <w:tcBorders>
              <w:top w:val="nil"/>
              <w:left w:val="single" w:sz="4" w:space="0" w:color="auto"/>
              <w:bottom w:val="single" w:sz="4" w:space="0" w:color="000000"/>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住院HIS系统一定时期内（日/周）按医嘱出院的患者的应收费用</w:t>
            </w: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16</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药品收入</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16≥17</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期内HIS系统办理出院病人实际应收的药品费用</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17</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中草药收入</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期内HIS系统办理出院病人实际应收的中草药费用</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18</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医事服务费收入（诊查费）</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期内HIS系统办理出院病人实际应收的医事服务费用</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638"/>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19</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住院检查收入</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19≥20+21</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期内HIS系统办理出院病人实际应收的检查（一般检查费、核素检查 、超声费、放射费 、病理费）费用总和</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687"/>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20</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CT检查收入</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期内HIS系统办理出院病人实际应收的CT检查费用</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21</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核磁检查收入</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期内HIS系统办理出院病人实际应收的核磁检查费用</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val="restart"/>
            <w:tcBorders>
              <w:top w:val="nil"/>
              <w:left w:val="single" w:sz="4" w:space="0" w:color="auto"/>
              <w:bottom w:val="single" w:sz="4" w:space="0" w:color="000000"/>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服务量情况</w:t>
            </w: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22</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门急诊总诊疗人次</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22=23+28</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门急诊总就诊人次数</w:t>
            </w:r>
          </w:p>
        </w:tc>
        <w:tc>
          <w:tcPr>
            <w:tcW w:w="1838" w:type="dxa"/>
            <w:vMerge w:val="restart"/>
            <w:tcBorders>
              <w:top w:val="nil"/>
              <w:left w:val="single" w:sz="4" w:space="0" w:color="auto"/>
              <w:bottom w:val="single" w:sz="4" w:space="0" w:color="000000"/>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门急诊HIS系统一定时期内就诊人次数，门诊人次包含当日挂号并就诊和已经提前预约并当日来就诊这两部分</w:t>
            </w:r>
          </w:p>
        </w:tc>
        <w:tc>
          <w:tcPr>
            <w:tcW w:w="425" w:type="dxa"/>
            <w:vMerge w:val="restart"/>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人次</w:t>
            </w:r>
          </w:p>
        </w:tc>
      </w:tr>
      <w:tr w:rsidR="00A1073F" w:rsidTr="002A3C2C">
        <w:trPr>
          <w:trHeight w:val="638"/>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23</w:t>
            </w:r>
          </w:p>
        </w:tc>
        <w:tc>
          <w:tcPr>
            <w:tcW w:w="3290"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门诊人次</w:t>
            </w:r>
          </w:p>
        </w:tc>
        <w:tc>
          <w:tcPr>
            <w:tcW w:w="464" w:type="dxa"/>
            <w:tcBorders>
              <w:top w:val="nil"/>
              <w:left w:val="nil"/>
              <w:bottom w:val="nil"/>
              <w:right w:val="nil"/>
            </w:tcBorders>
            <w:vAlign w:val="bottom"/>
          </w:tcPr>
          <w:p w:rsidR="00A1073F" w:rsidRDefault="00A1073F" w:rsidP="002A3C2C">
            <w:pPr>
              <w:widowControl/>
              <w:jc w:val="left"/>
              <w:rPr>
                <w:rFonts w:ascii="宋体" w:hAnsi="宋体" w:cs="宋体"/>
                <w:kern w:val="0"/>
                <w:sz w:val="22"/>
              </w:rPr>
            </w:pPr>
          </w:p>
        </w:tc>
        <w:tc>
          <w:tcPr>
            <w:tcW w:w="2087" w:type="dxa"/>
            <w:tcBorders>
              <w:top w:val="nil"/>
              <w:left w:val="single" w:sz="4" w:space="0" w:color="auto"/>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23=24+25+26+27</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门诊就诊总人次数（包括当日挂号并就诊和提前预约并当日就诊的人次）</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24</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普通号门诊人次</w:t>
            </w:r>
          </w:p>
        </w:tc>
        <w:tc>
          <w:tcPr>
            <w:tcW w:w="464" w:type="dxa"/>
            <w:tcBorders>
              <w:top w:val="single" w:sz="4" w:space="0" w:color="auto"/>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普通号门诊就诊人次数</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54"/>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25</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副主任医师号门诊人次</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副主任医师门诊就诊人次数</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26</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主任医师号门诊人次</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主任医师门诊就诊人次数</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27</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知名专家号门诊人次</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知名专家门诊就诊人次数</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28</w:t>
            </w:r>
          </w:p>
        </w:tc>
        <w:tc>
          <w:tcPr>
            <w:tcW w:w="3290"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急诊人次</w:t>
            </w:r>
          </w:p>
        </w:tc>
        <w:tc>
          <w:tcPr>
            <w:tcW w:w="46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急诊就诊总人次数</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29</w:t>
            </w:r>
          </w:p>
        </w:tc>
        <w:tc>
          <w:tcPr>
            <w:tcW w:w="3290"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诊疗人次中：针灸科门诊人次</w:t>
            </w:r>
          </w:p>
        </w:tc>
        <w:tc>
          <w:tcPr>
            <w:tcW w:w="46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29&lt;23</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针灸科门诊就诊人次</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30</w:t>
            </w:r>
          </w:p>
        </w:tc>
        <w:tc>
          <w:tcPr>
            <w:tcW w:w="3290"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诊疗人次中：按摩（推拿）科门诊人次</w:t>
            </w:r>
          </w:p>
        </w:tc>
        <w:tc>
          <w:tcPr>
            <w:tcW w:w="46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30&lt;23</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按摩（推拿）科门诊就诊人次</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638"/>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31</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出院人次数（不含在院）</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期内HIS系统办理出院的病人数</w:t>
            </w:r>
          </w:p>
        </w:tc>
        <w:tc>
          <w:tcPr>
            <w:tcW w:w="18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住院HIS系统中按医嘱出院的病人数</w:t>
            </w:r>
          </w:p>
        </w:tc>
        <w:tc>
          <w:tcPr>
            <w:tcW w:w="425"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32</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门急诊CT检查人次</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期内门急诊实际缴纳了CT检查费的人次数</w:t>
            </w:r>
          </w:p>
        </w:tc>
        <w:tc>
          <w:tcPr>
            <w:tcW w:w="1838" w:type="dxa"/>
            <w:vMerge w:val="restart"/>
            <w:tcBorders>
              <w:top w:val="nil"/>
              <w:left w:val="single" w:sz="4" w:space="0" w:color="auto"/>
              <w:bottom w:val="single" w:sz="4" w:space="0" w:color="000000"/>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一定时期内缴纳了相应费用的人次数，按项目进行统计</w:t>
            </w:r>
          </w:p>
        </w:tc>
        <w:tc>
          <w:tcPr>
            <w:tcW w:w="425"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33</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门急诊核磁检查人次</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期内门急诊实际缴纳了核磁检查费的人次数</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34</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住院CT检查人次</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期内HIS系统办理出院的患者中CT检查的人次数</w:t>
            </w:r>
          </w:p>
        </w:tc>
        <w:tc>
          <w:tcPr>
            <w:tcW w:w="1838" w:type="dxa"/>
            <w:vMerge w:val="restart"/>
            <w:tcBorders>
              <w:top w:val="nil"/>
              <w:left w:val="single" w:sz="4" w:space="0" w:color="auto"/>
              <w:bottom w:val="single" w:sz="4" w:space="0" w:color="000000"/>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按HIS系统医嘱中的实际检查项目进行统计</w:t>
            </w:r>
          </w:p>
        </w:tc>
        <w:tc>
          <w:tcPr>
            <w:tcW w:w="425"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9"/>
        </w:trPr>
        <w:tc>
          <w:tcPr>
            <w:tcW w:w="43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7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35</w:t>
            </w:r>
          </w:p>
        </w:tc>
        <w:tc>
          <w:tcPr>
            <w:tcW w:w="329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住院核磁检查人次</w:t>
            </w:r>
          </w:p>
        </w:tc>
        <w:tc>
          <w:tcPr>
            <w:tcW w:w="46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0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50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期内HIS系统办理出院的患者中核磁检查的人次数</w:t>
            </w:r>
          </w:p>
        </w:tc>
        <w:tc>
          <w:tcPr>
            <w:tcW w:w="1838"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25"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bl>
    <w:p w:rsidR="00A1073F" w:rsidRDefault="00A1073F" w:rsidP="00A1073F">
      <w:pPr>
        <w:spacing w:line="400" w:lineRule="exact"/>
        <w:rPr>
          <w:rFonts w:ascii="仿宋" w:eastAsia="仿宋" w:hAnsi="仿宋"/>
          <w:b/>
          <w:sz w:val="32"/>
          <w:szCs w:val="32"/>
        </w:rPr>
      </w:pPr>
    </w:p>
    <w:p w:rsidR="00A1073F" w:rsidRDefault="00A1073F" w:rsidP="00A1073F">
      <w:pPr>
        <w:spacing w:line="400" w:lineRule="exact"/>
        <w:rPr>
          <w:rFonts w:ascii="仿宋" w:eastAsia="仿宋" w:hAnsi="仿宋"/>
          <w:b/>
          <w:sz w:val="32"/>
          <w:szCs w:val="32"/>
        </w:rPr>
      </w:pPr>
    </w:p>
    <w:p w:rsidR="00A1073F" w:rsidRDefault="00A1073F" w:rsidP="00A1073F">
      <w:pPr>
        <w:spacing w:line="400" w:lineRule="exact"/>
        <w:rPr>
          <w:rFonts w:ascii="仿宋" w:eastAsia="仿宋" w:hAnsi="仿宋"/>
          <w:b/>
          <w:sz w:val="32"/>
          <w:szCs w:val="32"/>
        </w:rPr>
      </w:pPr>
    </w:p>
    <w:p w:rsidR="00A1073F" w:rsidRDefault="00A1073F" w:rsidP="00A1073F">
      <w:pPr>
        <w:spacing w:line="400" w:lineRule="exact"/>
        <w:rPr>
          <w:rFonts w:ascii="仿宋" w:eastAsia="仿宋" w:hAnsi="仿宋"/>
          <w:b/>
          <w:sz w:val="32"/>
          <w:szCs w:val="32"/>
        </w:rPr>
      </w:pPr>
    </w:p>
    <w:p w:rsidR="00A1073F" w:rsidRDefault="00A1073F" w:rsidP="00A1073F">
      <w:pPr>
        <w:spacing w:line="400" w:lineRule="exact"/>
        <w:rPr>
          <w:rFonts w:ascii="仿宋" w:eastAsia="仿宋" w:hAnsi="仿宋"/>
          <w:b/>
          <w:sz w:val="32"/>
          <w:szCs w:val="32"/>
        </w:rPr>
      </w:pPr>
    </w:p>
    <w:p w:rsidR="00A1073F" w:rsidRDefault="00A1073F" w:rsidP="00A1073F">
      <w:pPr>
        <w:spacing w:line="400" w:lineRule="exact"/>
        <w:rPr>
          <w:rFonts w:ascii="仿宋" w:eastAsia="仿宋" w:hAnsi="仿宋"/>
          <w:b/>
          <w:sz w:val="32"/>
          <w:szCs w:val="32"/>
        </w:rPr>
      </w:pPr>
    </w:p>
    <w:p w:rsidR="00A1073F" w:rsidRDefault="00A1073F" w:rsidP="00A1073F">
      <w:pPr>
        <w:spacing w:line="400" w:lineRule="exact"/>
        <w:rPr>
          <w:rFonts w:ascii="仿宋" w:eastAsia="仿宋" w:hAnsi="仿宋"/>
          <w:b/>
          <w:sz w:val="32"/>
          <w:szCs w:val="32"/>
        </w:rPr>
      </w:pPr>
    </w:p>
    <w:p w:rsidR="00A1073F" w:rsidRDefault="00A1073F" w:rsidP="00A1073F">
      <w:pPr>
        <w:spacing w:line="400" w:lineRule="exact"/>
        <w:rPr>
          <w:rFonts w:ascii="仿宋" w:eastAsia="仿宋" w:hAnsi="仿宋"/>
          <w:b/>
          <w:sz w:val="32"/>
          <w:szCs w:val="32"/>
        </w:rPr>
      </w:pPr>
    </w:p>
    <w:p w:rsidR="00A1073F" w:rsidRDefault="00A1073F" w:rsidP="00A1073F">
      <w:pPr>
        <w:tabs>
          <w:tab w:val="left" w:pos="8364"/>
        </w:tabs>
        <w:spacing w:line="400" w:lineRule="exact"/>
        <w:rPr>
          <w:rFonts w:ascii="仿宋" w:eastAsia="仿宋" w:hAnsi="仿宋"/>
          <w:b/>
          <w:sz w:val="32"/>
          <w:szCs w:val="32"/>
        </w:rPr>
      </w:pPr>
      <w:r>
        <w:rPr>
          <w:rFonts w:ascii="黑体" w:eastAsia="黑体" w:hAnsi="黑体" w:hint="eastAsia"/>
          <w:bCs/>
          <w:sz w:val="32"/>
          <w:szCs w:val="32"/>
        </w:rPr>
        <w:lastRenderedPageBreak/>
        <w:t>附件2-2</w:t>
      </w:r>
    </w:p>
    <w:p w:rsidR="00A1073F" w:rsidRDefault="00A1073F" w:rsidP="00A1073F">
      <w:pPr>
        <w:tabs>
          <w:tab w:val="left" w:pos="8364"/>
        </w:tabs>
        <w:spacing w:line="400" w:lineRule="exact"/>
        <w:ind w:leftChars="-405" w:left="-850"/>
        <w:rPr>
          <w:rFonts w:ascii="仿宋" w:eastAsia="仿宋" w:hAnsi="仿宋"/>
          <w:b/>
          <w:sz w:val="32"/>
          <w:szCs w:val="32"/>
        </w:rPr>
      </w:pPr>
      <w:r>
        <w:rPr>
          <w:rFonts w:ascii="仿宋" w:eastAsia="仿宋" w:hAnsi="仿宋" w:hint="eastAsia"/>
          <w:b/>
          <w:sz w:val="32"/>
          <w:szCs w:val="32"/>
        </w:rPr>
        <w:t xml:space="preserve">  </w:t>
      </w:r>
    </w:p>
    <w:tbl>
      <w:tblPr>
        <w:tblW w:w="0" w:type="auto"/>
        <w:tblInd w:w="93" w:type="dxa"/>
        <w:tblLayout w:type="fixed"/>
        <w:tblLook w:val="0000"/>
      </w:tblPr>
      <w:tblGrid>
        <w:gridCol w:w="516"/>
        <w:gridCol w:w="468"/>
        <w:gridCol w:w="4411"/>
        <w:gridCol w:w="436"/>
        <w:gridCol w:w="2548"/>
        <w:gridCol w:w="5244"/>
        <w:gridCol w:w="567"/>
      </w:tblGrid>
      <w:tr w:rsidR="00A1073F" w:rsidTr="002A3C2C">
        <w:trPr>
          <w:trHeight w:val="548"/>
        </w:trPr>
        <w:tc>
          <w:tcPr>
            <w:tcW w:w="14190" w:type="dxa"/>
            <w:gridSpan w:val="7"/>
            <w:tcBorders>
              <w:top w:val="nil"/>
              <w:left w:val="nil"/>
              <w:bottom w:val="nil"/>
              <w:right w:val="nil"/>
            </w:tcBorders>
            <w:vAlign w:val="center"/>
          </w:tcPr>
          <w:p w:rsidR="00A1073F" w:rsidRDefault="00A1073F" w:rsidP="002A3C2C">
            <w:pPr>
              <w:widowControl/>
              <w:jc w:val="center"/>
              <w:rPr>
                <w:rFonts w:ascii="宋体" w:hAnsi="宋体" w:cs="宋体"/>
                <w:b/>
                <w:bCs/>
                <w:kern w:val="0"/>
                <w:sz w:val="36"/>
                <w:szCs w:val="36"/>
              </w:rPr>
            </w:pPr>
            <w:r>
              <w:rPr>
                <w:rFonts w:ascii="方正小标宋简体" w:eastAsia="方正小标宋简体" w:hAnsi="方正小标宋简体" w:cs="方正小标宋简体" w:hint="eastAsia"/>
                <w:kern w:val="0"/>
                <w:sz w:val="44"/>
                <w:szCs w:val="44"/>
              </w:rPr>
              <w:t>表2  改革监测月报表</w:t>
            </w:r>
          </w:p>
        </w:tc>
      </w:tr>
      <w:tr w:rsidR="00A1073F" w:rsidTr="002A3C2C">
        <w:trPr>
          <w:trHeight w:val="796"/>
        </w:trPr>
        <w:tc>
          <w:tcPr>
            <w:tcW w:w="14190" w:type="dxa"/>
            <w:gridSpan w:val="7"/>
            <w:tcBorders>
              <w:top w:val="nil"/>
              <w:left w:val="nil"/>
              <w:bottom w:val="single" w:sz="4" w:space="0" w:color="auto"/>
              <w:right w:val="nil"/>
            </w:tcBorders>
          </w:tcPr>
          <w:p w:rsidR="00A1073F" w:rsidRDefault="00A1073F" w:rsidP="002A3C2C">
            <w:pPr>
              <w:widowControl/>
              <w:jc w:val="left"/>
              <w:rPr>
                <w:rFonts w:ascii="宋体" w:hAnsi="宋体" w:cs="宋体"/>
                <w:b/>
                <w:bCs/>
                <w:kern w:val="0"/>
                <w:sz w:val="36"/>
                <w:szCs w:val="36"/>
              </w:rPr>
            </w:pPr>
            <w:r>
              <w:rPr>
                <w:rFonts w:ascii="宋体" w:hAnsi="宋体" w:cs="宋体" w:hint="eastAsia"/>
                <w:b/>
                <w:bCs/>
                <w:kern w:val="0"/>
                <w:sz w:val="22"/>
              </w:rPr>
              <w:t xml:space="preserve"> 数据来源：报表中1-65项数据均来源于各单位HIS系统的信息汇总，66-72项来源于医院首信医保系统的结算数据。</w:t>
            </w:r>
            <w:r>
              <w:rPr>
                <w:rFonts w:ascii="宋体" w:hAnsi="宋体" w:cs="宋体" w:hint="eastAsia"/>
                <w:b/>
                <w:bCs/>
                <w:kern w:val="0"/>
                <w:sz w:val="22"/>
              </w:rPr>
              <w:br/>
              <w:t xml:space="preserve"> 数据口径：报表中1-65所有数据均不含特需、干部保健和体检;并且门急诊的收入和工作量不包含急诊留观视同住院患者的数据</w:t>
            </w:r>
            <w:r>
              <w:rPr>
                <w:rFonts w:ascii="宋体" w:hAnsi="宋体" w:cs="宋体" w:hint="eastAsia"/>
                <w:b/>
                <w:bCs/>
                <w:kern w:val="0"/>
                <w:sz w:val="36"/>
                <w:szCs w:val="36"/>
              </w:rPr>
              <w:t xml:space="preserve"> </w:t>
            </w:r>
          </w:p>
        </w:tc>
      </w:tr>
      <w:tr w:rsidR="00A1073F" w:rsidTr="002A3C2C">
        <w:trPr>
          <w:trHeight w:val="318"/>
        </w:trPr>
        <w:tc>
          <w:tcPr>
            <w:tcW w:w="516"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项目</w:t>
            </w: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序号</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指标名称</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值</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逻辑校验</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说明</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单位</w:t>
            </w:r>
          </w:p>
        </w:tc>
      </w:tr>
      <w:tr w:rsidR="00A1073F" w:rsidTr="002A3C2C">
        <w:trPr>
          <w:trHeight w:val="318"/>
        </w:trPr>
        <w:tc>
          <w:tcPr>
            <w:tcW w:w="516" w:type="dxa"/>
            <w:vMerge w:val="restart"/>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收入情况</w:t>
            </w: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医疗收入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1≥2+21</w:t>
            </w:r>
          </w:p>
        </w:tc>
        <w:tc>
          <w:tcPr>
            <w:tcW w:w="524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期内实收的门急诊收入和出院收入</w:t>
            </w:r>
          </w:p>
        </w:tc>
        <w:tc>
          <w:tcPr>
            <w:tcW w:w="567" w:type="dxa"/>
            <w:vMerge w:val="restart"/>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元</w:t>
            </w: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门急诊收入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2≥3+8+9+12+13+17+18+19</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期内实收的门急诊病人总费用</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门诊医事服务费收入（挂号，诊疗费）</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3=4+5+6+7</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期内实收的门诊医事服务费总计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4</w:t>
            </w:r>
          </w:p>
        </w:tc>
        <w:tc>
          <w:tcPr>
            <w:tcW w:w="4411"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普通号门诊医事服务费收入</w:t>
            </w:r>
          </w:p>
        </w:tc>
        <w:tc>
          <w:tcPr>
            <w:tcW w:w="436"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期内实收的普通号门诊医事服务费总计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5</w:t>
            </w:r>
          </w:p>
        </w:tc>
        <w:tc>
          <w:tcPr>
            <w:tcW w:w="4411"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副主任医师医事服务费收入</w:t>
            </w:r>
          </w:p>
        </w:tc>
        <w:tc>
          <w:tcPr>
            <w:tcW w:w="436"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期内实收的副主任医师门诊医事服务费总计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6</w:t>
            </w:r>
          </w:p>
        </w:tc>
        <w:tc>
          <w:tcPr>
            <w:tcW w:w="4411"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主任医师医事服务费收入</w:t>
            </w:r>
          </w:p>
        </w:tc>
        <w:tc>
          <w:tcPr>
            <w:tcW w:w="436"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期内实收的主任医师门诊医事服务费总计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7</w:t>
            </w:r>
          </w:p>
        </w:tc>
        <w:tc>
          <w:tcPr>
            <w:tcW w:w="4411"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知名专家医事服务费收入</w:t>
            </w:r>
          </w:p>
        </w:tc>
        <w:tc>
          <w:tcPr>
            <w:tcW w:w="436"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期内实收的知名专家门诊医事服务费总计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8</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急诊医事服务费收入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期内实收的急诊医事服务费总计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636"/>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9</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检查收入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9＞10+11</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期内实收的门急诊病人检查（一般检查费、核素检查 、超声费、放射费 、病理费）费用总和</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10</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CT检查收入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期内实收的门急诊CT检查总费用</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11</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核磁检查收入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期内实收的门急诊核磁检查总费用</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12</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化验收入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期内实收的门急诊化验总费用</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955"/>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13</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治疗收入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13＞14</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期内实收的门急诊治疗（临床物理治疗费、介入治疗费、特殊治疗费、康复治疗费、中医治疗费、一般治疗费、精神治疗费、护理治疗费、核素治疗）总费用</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14</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中医治疗收入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14≥15+16</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期内实收的门急诊中医治疗项目总费用</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636"/>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15</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针灸治疗收入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期内实收的针灸科门诊收入中针灸收入总计。不分科别的医院则只统计针灸项目收入。</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955"/>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16</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按摩（推拿）治疗收入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期内实收的按摩（推拿）科门诊收入中按摩（推拿）收入总计。不分科别的医院则只统计按摩（推拿）项目收入。</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17</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手术收入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期内实收的门急诊手术费总计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18</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卫生材料收入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期内实收的门急诊卫生材料费总计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955"/>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19</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药品收入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19≥20</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期内实收的门急诊药品（西药费、抗菌药物费、白蛋白类制品费、球蛋白类制品费、凝血因子类制品费、细胞因子类制品费、中成药费、中草药费）总费用</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20</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中草药收入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期内实收的门急诊中草药总费用</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636"/>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21</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出院收入（不含在院）</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21≥22+25+26+27+28+30+31+32+33</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期内HIS系统办理出院病人实际应收的住院总费用</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636"/>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22</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检查收入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22≥23+24</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期内HIS系统办理出院病人实际应收的检查（一般检查费、核素检查 、超声费、放射费 、病理费）费用总计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23</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CT检查收入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期内HIS系统办理出院病人实际应收的CT检查费总计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24</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核磁检查收入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期内HIS系统办理出院病人实际应收的核磁检查费总计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25</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化验收入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期内HIS系统办理出院病人实际应收的化验费总计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26</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手术收入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期内HIS系统办理出院病人实际应收的手术费总计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27</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卫生材料收入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期内HIS系统办理出院病人实际应收的卫生材料费总计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1273"/>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28</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药品收入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28≥29</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期内HIS系统办理出院病人实际应收的药品费（西药费、抗菌药物费、白蛋白类制品费、球蛋白类制品费、凝血因子类制品费、细胞因子类制品费、中成药费、中草药费）总计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29</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中草药收入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期内HIS系统办理出院病人实际应收的中草药费总计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30</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医事服务费收入（诊察费）</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期内HIS系统办理出院病人实际应收的医事服务费总计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31</w:t>
            </w:r>
          </w:p>
        </w:tc>
        <w:tc>
          <w:tcPr>
            <w:tcW w:w="4411"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护理收入</w:t>
            </w:r>
          </w:p>
        </w:tc>
        <w:tc>
          <w:tcPr>
            <w:tcW w:w="436"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期内HIS系统办理出院病人实际应收的护理费总计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1273"/>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32</w:t>
            </w:r>
          </w:p>
        </w:tc>
        <w:tc>
          <w:tcPr>
            <w:tcW w:w="4411"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治疗收入</w:t>
            </w:r>
          </w:p>
        </w:tc>
        <w:tc>
          <w:tcPr>
            <w:tcW w:w="436"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期内HIS系统办理出院病人实际应收的治疗（临床物理治疗费、介入治疗费、特殊治疗费、康复治疗费、中医治疗费、一般治疗费、精神治疗费、护理治疗费、核素治疗）费用总和</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33</w:t>
            </w:r>
          </w:p>
        </w:tc>
        <w:tc>
          <w:tcPr>
            <w:tcW w:w="4411"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床位收入</w:t>
            </w:r>
          </w:p>
        </w:tc>
        <w:tc>
          <w:tcPr>
            <w:tcW w:w="436"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33≥34</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期内HIS系统办理出院病人实际应收的床位费总计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34</w:t>
            </w:r>
          </w:p>
        </w:tc>
        <w:tc>
          <w:tcPr>
            <w:tcW w:w="4411"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普通床位收入</w:t>
            </w:r>
          </w:p>
        </w:tc>
        <w:tc>
          <w:tcPr>
            <w:tcW w:w="436"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期内HIS系统办理出院病人实际应收的普通床位费总计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val="restart"/>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服务量情况</w:t>
            </w: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35</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门急诊总诊疗人次</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35=36+42</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期内门急诊总就诊人次数</w:t>
            </w:r>
          </w:p>
        </w:tc>
        <w:tc>
          <w:tcPr>
            <w:tcW w:w="567" w:type="dxa"/>
            <w:vMerge w:val="restart"/>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人次</w:t>
            </w:r>
          </w:p>
        </w:tc>
      </w:tr>
      <w:tr w:rsidR="00A1073F" w:rsidTr="002A3C2C">
        <w:trPr>
          <w:trHeight w:val="636"/>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36</w:t>
            </w:r>
          </w:p>
        </w:tc>
        <w:tc>
          <w:tcPr>
            <w:tcW w:w="4411"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门诊人次</w:t>
            </w:r>
          </w:p>
        </w:tc>
        <w:tc>
          <w:tcPr>
            <w:tcW w:w="436"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36=37+38+39+40</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期内门诊就诊总人次数（包括当天挂号并就诊和提前预约并当日就诊的人次）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37</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普通号门诊人次</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期内普通号门诊就诊人次数</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38</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副主任医师号门诊人次</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期内副主任医师门诊就诊人次数</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39</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主任医师号门诊人次</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期内主任医师门诊就诊人次数</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40</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知名专家号门诊人次</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期内知名专家门诊就诊人次数</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955"/>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41</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门诊外地来京患者人次（三级以上）</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非北京医保患者、非北京公费医疗患者，身份证号非“110”开头的患者。（三级以上医院门急诊电子病历中有“专程来京就医”标识的也可按此标识进行筛选）</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42</w:t>
            </w:r>
          </w:p>
        </w:tc>
        <w:tc>
          <w:tcPr>
            <w:tcW w:w="4411"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急诊人次</w:t>
            </w:r>
          </w:p>
        </w:tc>
        <w:tc>
          <w:tcPr>
            <w:tcW w:w="436"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期内急诊就诊总人次数</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43</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门诊手术人次</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期内门诊实际缴纳了手术费的人次数</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636"/>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44</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门急诊检查人次数</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44≥45+46</w:t>
            </w:r>
          </w:p>
        </w:tc>
        <w:tc>
          <w:tcPr>
            <w:tcW w:w="524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在门急诊缴纳了检查费（一般检查，核素检查，超声检查，放射检查，病理检查）的人次数</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45</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门急诊CT检查人次</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期内门急诊实际缴纳了CT检查费的人次数</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46</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门急诊MRI检查人次</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期内门急诊实际缴纳了核磁检查费的人次数</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47</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诊疗人次中：针灸科门诊人次</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47&lt;36</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期内针灸科门诊就诊人次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48</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诊疗人次中：按摩（推拿）科门诊人次</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48&lt;36</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期内按摩（推拿）科门诊就诊人次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49</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出院人次数（不含在院）</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49≥50</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期内HIS系统办理出院病人数</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50</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外地来京患者人次</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现住址区县编码为非“110”开头的患者人次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51</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出院手术人次</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期内HIS系统办理出院病人中实施纯手术的人次</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636"/>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52</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住院检查人次数</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52≥53+54</w:t>
            </w:r>
          </w:p>
        </w:tc>
        <w:tc>
          <w:tcPr>
            <w:tcW w:w="524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期内HIS系统办理出院病人的检查（一般检查，核素检查，超声检查，放射检查，病理检查）总人次数</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53</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住院CT检查人次</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期内HIS系统办理出院病人中CT检查的人次数</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54</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住院MRI检查人次</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期内HIS系统办理出院病人中核磁检查的人次数</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1273"/>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55</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实际开放总床日数</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指期内医院各科每日夜晚12点开放病床数总和，不论该床是否被病人占用，都应计算在内。包括消毒和小修理等暂停使用的病床，超过半年的加床。不包括因病房扩建或大修而停用的病床级临时增设病床（半年以内）。</w:t>
            </w:r>
          </w:p>
        </w:tc>
        <w:tc>
          <w:tcPr>
            <w:tcW w:w="567" w:type="dxa"/>
            <w:vMerge w:val="restart"/>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天</w:t>
            </w:r>
          </w:p>
        </w:tc>
      </w:tr>
      <w:tr w:rsidR="00A1073F" w:rsidTr="002A3C2C">
        <w:trPr>
          <w:trHeight w:val="1909"/>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56</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实际占用总床日数</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指医院各科每日夜晚12点实际占用病床数（即每日夜晚12点住院人数）总和。包括实际占用的临时加床在内，不包括家庭病床占用床日数。病人入院后于当晚12点前死亡或因故出院的病人，按实际占用一天进行统计，同时统计“出院者占用总床日数”1天，入院及出院人数各1人。</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955"/>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57</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出院者占用总床日数</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指所有出院人数的住院床日之总和。包括正常分娩、未产出院、住院经检查无病出院、未治出院及健康人进行人工流产或绝育手术后正常出院者的住院床日数。</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val="restart"/>
            <w:tcBorders>
              <w:top w:val="nil"/>
              <w:left w:val="single" w:sz="4" w:space="0" w:color="auto"/>
              <w:bottom w:val="single" w:sz="4" w:space="0" w:color="000000"/>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人员情况</w:t>
            </w: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58</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出诊医师数</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58=59+60+61+62+63</w:t>
            </w:r>
          </w:p>
        </w:tc>
        <w:tc>
          <w:tcPr>
            <w:tcW w:w="524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期内在门急诊出诊的医师人次</w:t>
            </w:r>
          </w:p>
        </w:tc>
        <w:tc>
          <w:tcPr>
            <w:tcW w:w="567" w:type="dxa"/>
            <w:vMerge w:val="restart"/>
            <w:tcBorders>
              <w:top w:val="nil"/>
              <w:left w:val="single" w:sz="4" w:space="0" w:color="auto"/>
              <w:bottom w:val="single" w:sz="4" w:space="0" w:color="000000"/>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人次</w:t>
            </w:r>
          </w:p>
        </w:tc>
      </w:tr>
      <w:tr w:rsidR="00A1073F" w:rsidTr="002A3C2C">
        <w:trPr>
          <w:trHeight w:val="318"/>
        </w:trPr>
        <w:tc>
          <w:tcPr>
            <w:tcW w:w="51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59</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普通门诊出诊医师数</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期内出普通门诊的医师人次</w:t>
            </w:r>
          </w:p>
        </w:tc>
        <w:tc>
          <w:tcPr>
            <w:tcW w:w="567"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60</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副主任医师门诊出诊医师数</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期内出副主任医师门诊的医师人次</w:t>
            </w:r>
          </w:p>
        </w:tc>
        <w:tc>
          <w:tcPr>
            <w:tcW w:w="567"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61</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主任医师门诊出诊医师数</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期内出主任医师门诊的医师人次</w:t>
            </w:r>
          </w:p>
        </w:tc>
        <w:tc>
          <w:tcPr>
            <w:tcW w:w="567"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62</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知名专家门诊出诊医师数</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期内出知名专家门诊的医师人次</w:t>
            </w:r>
          </w:p>
        </w:tc>
        <w:tc>
          <w:tcPr>
            <w:tcW w:w="567"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318"/>
        </w:trPr>
        <w:tc>
          <w:tcPr>
            <w:tcW w:w="516"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63</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急诊出诊医师数</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5244" w:type="dxa"/>
            <w:tcBorders>
              <w:top w:val="nil"/>
              <w:left w:val="nil"/>
              <w:bottom w:val="single" w:sz="4" w:space="0" w:color="auto"/>
              <w:right w:val="single" w:sz="4" w:space="0" w:color="auto"/>
            </w:tcBorders>
            <w:vAlign w:val="bottom"/>
          </w:tcPr>
          <w:p w:rsidR="00A1073F" w:rsidRDefault="00A1073F" w:rsidP="002A3C2C">
            <w:pPr>
              <w:widowControl/>
              <w:jc w:val="left"/>
              <w:rPr>
                <w:rFonts w:ascii="宋体" w:hAnsi="宋体" w:cs="宋体"/>
                <w:kern w:val="0"/>
                <w:sz w:val="22"/>
              </w:rPr>
            </w:pPr>
            <w:r>
              <w:rPr>
                <w:rFonts w:ascii="宋体" w:hAnsi="宋体" w:cs="宋体" w:hint="eastAsia"/>
                <w:kern w:val="0"/>
                <w:sz w:val="22"/>
              </w:rPr>
              <w:t>其内在急诊出诊的医师人次</w:t>
            </w:r>
          </w:p>
        </w:tc>
        <w:tc>
          <w:tcPr>
            <w:tcW w:w="567"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955"/>
        </w:trPr>
        <w:tc>
          <w:tcPr>
            <w:tcW w:w="516" w:type="dxa"/>
            <w:vMerge w:val="restart"/>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其他指标</w:t>
            </w: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64</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医保病人门急诊收入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64≤2</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期内HIS系统医保病人发生的门急诊总费用（指标2中的医保病人数据，仅包含城镇职工基本医疗保险和城镇居民基本医疗保险）</w:t>
            </w:r>
          </w:p>
        </w:tc>
        <w:tc>
          <w:tcPr>
            <w:tcW w:w="567" w:type="dxa"/>
            <w:vMerge w:val="restart"/>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元</w:t>
            </w:r>
          </w:p>
        </w:tc>
      </w:tr>
      <w:tr w:rsidR="00A1073F" w:rsidTr="002A3C2C">
        <w:trPr>
          <w:trHeight w:val="955"/>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65</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医保病人出院收入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65≤21</w:t>
            </w:r>
          </w:p>
        </w:tc>
        <w:tc>
          <w:tcPr>
            <w:tcW w:w="5244" w:type="dxa"/>
            <w:tcBorders>
              <w:top w:val="nil"/>
              <w:left w:val="nil"/>
              <w:bottom w:val="single" w:sz="4" w:space="0" w:color="auto"/>
              <w:right w:val="single" w:sz="4" w:space="0" w:color="auto"/>
            </w:tcBorders>
          </w:tcPr>
          <w:p w:rsidR="00A1073F" w:rsidRDefault="00A1073F" w:rsidP="002A3C2C">
            <w:pPr>
              <w:widowControl/>
              <w:jc w:val="left"/>
              <w:rPr>
                <w:rFonts w:ascii="宋体" w:hAnsi="宋体" w:cs="宋体"/>
                <w:kern w:val="0"/>
                <w:sz w:val="22"/>
              </w:rPr>
            </w:pPr>
            <w:r>
              <w:rPr>
                <w:rFonts w:ascii="宋体" w:hAnsi="宋体" w:cs="宋体" w:hint="eastAsia"/>
                <w:kern w:val="0"/>
                <w:sz w:val="22"/>
              </w:rPr>
              <w:t>期内HIS系统医保病人发生的住院总费用（指标21中的医保病人数据，仅包含城镇职工基本医疗保险和城镇居民基本医疗保险）</w:t>
            </w:r>
          </w:p>
        </w:tc>
        <w:tc>
          <w:tcPr>
            <w:tcW w:w="56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955"/>
        </w:trPr>
        <w:tc>
          <w:tcPr>
            <w:tcW w:w="516" w:type="dxa"/>
            <w:vMerge w:val="restart"/>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北京市</w:t>
            </w:r>
            <w:r>
              <w:rPr>
                <w:rFonts w:ascii="宋体" w:hAnsi="宋体" w:cs="宋体" w:hint="eastAsia"/>
                <w:kern w:val="0"/>
                <w:sz w:val="22"/>
              </w:rPr>
              <w:lastRenderedPageBreak/>
              <w:t>医保情况</w:t>
            </w: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lastRenderedPageBreak/>
              <w:t>66</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医疗收入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66≥67+69；66&lt;1（警告）</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期内首信医保系统中医保结算的门急诊费用和出院费用总和(仅包含城镇职工基本医疗保险和城镇居民基本医疗保险)</w:t>
            </w:r>
          </w:p>
        </w:tc>
        <w:tc>
          <w:tcPr>
            <w:tcW w:w="567" w:type="dxa"/>
            <w:vMerge w:val="restart"/>
            <w:tcBorders>
              <w:top w:val="nil"/>
              <w:left w:val="single" w:sz="4" w:space="0" w:color="auto"/>
              <w:bottom w:val="single" w:sz="4" w:space="0" w:color="000000"/>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元</w:t>
            </w:r>
          </w:p>
        </w:tc>
      </w:tr>
      <w:tr w:rsidR="00A1073F" w:rsidTr="002A3C2C">
        <w:trPr>
          <w:trHeight w:val="636"/>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67</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门急诊收入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67＞68；67&lt;2（警告）</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期内首信医保系统中医保结算的门急诊费用(仅包含城镇职工基本医疗保险和城镇居民基本医疗保险)</w:t>
            </w:r>
          </w:p>
        </w:tc>
        <w:tc>
          <w:tcPr>
            <w:tcW w:w="567"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636"/>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68</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药品收入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68&lt;19（警告）</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期内首信医保系统中医保结算的门急诊药品费用(仅包含城镇职工基本医疗保险和城镇居民基本医疗保险)</w:t>
            </w:r>
          </w:p>
        </w:tc>
        <w:tc>
          <w:tcPr>
            <w:tcW w:w="567"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636"/>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69</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出院收入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69＞70；69&lt;21（警告）</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期内首信医保系统中医保结算的住院费用(仅包含城镇职工基本医疗保险和城镇居民基本医疗保险)</w:t>
            </w:r>
          </w:p>
        </w:tc>
        <w:tc>
          <w:tcPr>
            <w:tcW w:w="567"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636"/>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70</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药品收入</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70&lt;28（警告）</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期内首信医保系统中医保结算的住院药品费用(仅包含城镇职工基本医疗保险和城镇居民基本医疗保险)</w:t>
            </w:r>
          </w:p>
        </w:tc>
        <w:tc>
          <w:tcPr>
            <w:tcW w:w="567"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r w:rsidR="00A1073F" w:rsidTr="002A3C2C">
        <w:trPr>
          <w:trHeight w:val="636"/>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71</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门急诊总诊疗人次</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71&lt;35（警告）</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期内首信医保系统中按医保结算的门急诊人次(仅包含城镇职工基本医疗保险和城镇居民基本医疗保险)</w:t>
            </w:r>
          </w:p>
        </w:tc>
        <w:tc>
          <w:tcPr>
            <w:tcW w:w="567" w:type="dxa"/>
            <w:vMerge w:val="restart"/>
            <w:tcBorders>
              <w:top w:val="nil"/>
              <w:left w:val="single" w:sz="4" w:space="0" w:color="auto"/>
              <w:bottom w:val="single" w:sz="4" w:space="0" w:color="000000"/>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人次</w:t>
            </w:r>
          </w:p>
        </w:tc>
      </w:tr>
      <w:tr w:rsidR="00A1073F" w:rsidTr="002A3C2C">
        <w:trPr>
          <w:trHeight w:val="636"/>
        </w:trPr>
        <w:tc>
          <w:tcPr>
            <w:tcW w:w="516"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p>
        </w:tc>
        <w:tc>
          <w:tcPr>
            <w:tcW w:w="46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kern w:val="0"/>
                <w:sz w:val="22"/>
              </w:rPr>
            </w:pPr>
            <w:r>
              <w:rPr>
                <w:rFonts w:ascii="宋体" w:hAnsi="宋体" w:cs="宋体" w:hint="eastAsia"/>
                <w:kern w:val="0"/>
                <w:sz w:val="22"/>
              </w:rPr>
              <w:t>72</w:t>
            </w:r>
          </w:p>
        </w:tc>
        <w:tc>
          <w:tcPr>
            <w:tcW w:w="4411"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出院人次数（不含在院）</w:t>
            </w:r>
          </w:p>
        </w:tc>
        <w:tc>
          <w:tcPr>
            <w:tcW w:w="436"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 xml:space="preserve">　</w:t>
            </w:r>
          </w:p>
        </w:tc>
        <w:tc>
          <w:tcPr>
            <w:tcW w:w="254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72&lt;49（警告）</w:t>
            </w:r>
          </w:p>
        </w:tc>
        <w:tc>
          <w:tcPr>
            <w:tcW w:w="524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期内首信医保系统中按医保结算的出院人次(仅包含城镇职工基本医疗保险和城镇居民基本医疗保险)</w:t>
            </w:r>
          </w:p>
        </w:tc>
        <w:tc>
          <w:tcPr>
            <w:tcW w:w="567" w:type="dxa"/>
            <w:vMerge/>
            <w:tcBorders>
              <w:top w:val="nil"/>
              <w:left w:val="single" w:sz="4" w:space="0" w:color="auto"/>
              <w:bottom w:val="single" w:sz="4" w:space="0" w:color="000000"/>
              <w:right w:val="single" w:sz="4" w:space="0" w:color="auto"/>
            </w:tcBorders>
            <w:vAlign w:val="center"/>
          </w:tcPr>
          <w:p w:rsidR="00A1073F" w:rsidRDefault="00A1073F" w:rsidP="002A3C2C">
            <w:pPr>
              <w:widowControl/>
              <w:jc w:val="left"/>
              <w:rPr>
                <w:rFonts w:ascii="宋体" w:hAnsi="宋体" w:cs="宋体"/>
                <w:kern w:val="0"/>
                <w:sz w:val="22"/>
              </w:rPr>
            </w:pPr>
          </w:p>
        </w:tc>
      </w:tr>
    </w:tbl>
    <w:p w:rsidR="00A1073F" w:rsidRDefault="00A1073F" w:rsidP="00A1073F">
      <w:pPr>
        <w:tabs>
          <w:tab w:val="left" w:pos="8364"/>
        </w:tabs>
        <w:spacing w:line="400" w:lineRule="exact"/>
        <w:ind w:leftChars="-405" w:left="-850"/>
        <w:rPr>
          <w:rFonts w:ascii="仿宋" w:eastAsia="仿宋" w:hAnsi="仿宋"/>
          <w:b/>
          <w:sz w:val="32"/>
          <w:szCs w:val="32"/>
        </w:rPr>
      </w:pPr>
    </w:p>
    <w:p w:rsidR="00A1073F" w:rsidRDefault="00A1073F" w:rsidP="00A1073F">
      <w:pPr>
        <w:rPr>
          <w:rFonts w:ascii="仿宋" w:eastAsia="仿宋" w:hAnsi="仿宋"/>
          <w:b/>
          <w:sz w:val="28"/>
          <w:szCs w:val="28"/>
        </w:rPr>
      </w:pPr>
    </w:p>
    <w:p w:rsidR="00A1073F" w:rsidRDefault="00A1073F" w:rsidP="00A1073F">
      <w:pPr>
        <w:rPr>
          <w:rFonts w:ascii="仿宋_GB2312" w:eastAsia="仿宋_GB2312"/>
          <w:b/>
          <w:sz w:val="13"/>
          <w:szCs w:val="13"/>
        </w:rPr>
      </w:pPr>
    </w:p>
    <w:p w:rsidR="00A1073F" w:rsidRDefault="00A1073F" w:rsidP="00A1073F">
      <w:pPr>
        <w:jc w:val="left"/>
        <w:rPr>
          <w:rFonts w:ascii="仿宋_GB2312" w:eastAsia="仿宋_GB2312" w:hint="eastAsia"/>
          <w:b/>
          <w:sz w:val="32"/>
          <w:szCs w:val="32"/>
        </w:rPr>
      </w:pPr>
    </w:p>
    <w:p w:rsidR="00A1073F" w:rsidRDefault="00A1073F" w:rsidP="00A1073F">
      <w:pPr>
        <w:jc w:val="left"/>
        <w:rPr>
          <w:rFonts w:ascii="仿宋_GB2312" w:eastAsia="仿宋_GB2312" w:hint="eastAsia"/>
          <w:b/>
          <w:sz w:val="32"/>
          <w:szCs w:val="32"/>
        </w:rPr>
      </w:pPr>
    </w:p>
    <w:p w:rsidR="00A1073F" w:rsidRDefault="00A1073F" w:rsidP="00A1073F">
      <w:pPr>
        <w:jc w:val="left"/>
        <w:rPr>
          <w:rFonts w:ascii="仿宋_GB2312" w:eastAsia="仿宋_GB2312" w:hint="eastAsia"/>
          <w:b/>
          <w:sz w:val="32"/>
          <w:szCs w:val="32"/>
        </w:rPr>
      </w:pPr>
    </w:p>
    <w:p w:rsidR="00A1073F" w:rsidRDefault="00A1073F" w:rsidP="00A1073F">
      <w:pPr>
        <w:jc w:val="left"/>
        <w:rPr>
          <w:rFonts w:ascii="仿宋_GB2312" w:eastAsia="仿宋_GB2312" w:hint="eastAsia"/>
          <w:b/>
          <w:sz w:val="32"/>
          <w:szCs w:val="32"/>
        </w:rPr>
      </w:pPr>
    </w:p>
    <w:tbl>
      <w:tblPr>
        <w:tblW w:w="0" w:type="auto"/>
        <w:tblLayout w:type="fixed"/>
        <w:tblLook w:val="0000"/>
      </w:tblPr>
      <w:tblGrid>
        <w:gridCol w:w="774"/>
        <w:gridCol w:w="2655"/>
        <w:gridCol w:w="3238"/>
        <w:gridCol w:w="1134"/>
        <w:gridCol w:w="1417"/>
        <w:gridCol w:w="1134"/>
        <w:gridCol w:w="1277"/>
        <w:gridCol w:w="2773"/>
      </w:tblGrid>
      <w:tr w:rsidR="00A1073F" w:rsidTr="002A3C2C">
        <w:trPr>
          <w:trHeight w:val="570"/>
        </w:trPr>
        <w:tc>
          <w:tcPr>
            <w:tcW w:w="14402" w:type="dxa"/>
            <w:gridSpan w:val="8"/>
            <w:tcBorders>
              <w:top w:val="nil"/>
              <w:left w:val="nil"/>
              <w:bottom w:val="single" w:sz="4" w:space="0" w:color="auto"/>
              <w:right w:val="nil"/>
            </w:tcBorders>
            <w:vAlign w:val="center"/>
          </w:tcPr>
          <w:p w:rsidR="00A1073F" w:rsidRDefault="00A1073F" w:rsidP="002A3C2C">
            <w:pPr>
              <w:jc w:val="left"/>
              <w:rPr>
                <w:rFonts w:ascii="黑体" w:eastAsia="黑体" w:hAnsi="黑体" w:hint="eastAsia"/>
                <w:bCs/>
                <w:sz w:val="32"/>
                <w:szCs w:val="32"/>
              </w:rPr>
            </w:pPr>
            <w:r>
              <w:rPr>
                <w:rFonts w:ascii="黑体" w:eastAsia="黑体" w:hAnsi="黑体" w:hint="eastAsia"/>
                <w:bCs/>
                <w:sz w:val="32"/>
                <w:szCs w:val="32"/>
              </w:rPr>
              <w:lastRenderedPageBreak/>
              <w:t>附件3</w:t>
            </w:r>
          </w:p>
          <w:p w:rsidR="00A1073F" w:rsidRDefault="00A1073F" w:rsidP="002A3C2C">
            <w:pPr>
              <w:ind w:rightChars="-392" w:right="-823"/>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表 3 改革监测病种周/月报表</w:t>
            </w:r>
          </w:p>
          <w:tbl>
            <w:tblPr>
              <w:tblW w:w="0" w:type="auto"/>
              <w:tblInd w:w="103" w:type="dxa"/>
              <w:tblLayout w:type="fixed"/>
              <w:tblLook w:val="0000"/>
            </w:tblPr>
            <w:tblGrid>
              <w:gridCol w:w="707"/>
              <w:gridCol w:w="1987"/>
              <w:gridCol w:w="708"/>
              <w:gridCol w:w="709"/>
              <w:gridCol w:w="709"/>
              <w:gridCol w:w="709"/>
              <w:gridCol w:w="567"/>
              <w:gridCol w:w="567"/>
              <w:gridCol w:w="425"/>
              <w:gridCol w:w="709"/>
              <w:gridCol w:w="850"/>
              <w:gridCol w:w="425"/>
              <w:gridCol w:w="567"/>
              <w:gridCol w:w="709"/>
              <w:gridCol w:w="709"/>
              <w:gridCol w:w="567"/>
              <w:gridCol w:w="567"/>
              <w:gridCol w:w="567"/>
              <w:gridCol w:w="567"/>
              <w:gridCol w:w="709"/>
            </w:tblGrid>
            <w:tr w:rsidR="00A1073F" w:rsidTr="002A3C2C">
              <w:trPr>
                <w:trHeight w:val="285"/>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987" w:type="dxa"/>
                  <w:vMerge w:val="restart"/>
                  <w:tcBorders>
                    <w:top w:val="single" w:sz="4" w:space="0" w:color="auto"/>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疾病名称</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疾病编码</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出院人数（人次）</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总费用（元）</w:t>
                  </w:r>
                </w:p>
              </w:tc>
              <w:tc>
                <w:tcPr>
                  <w:tcW w:w="9214" w:type="dxa"/>
                  <w:gridSpan w:val="15"/>
                  <w:tcBorders>
                    <w:top w:val="single" w:sz="4" w:space="0" w:color="auto"/>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A1073F" w:rsidTr="002A3C2C">
              <w:trPr>
                <w:trHeight w:val="1110"/>
              </w:trPr>
              <w:tc>
                <w:tcPr>
                  <w:tcW w:w="70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4"/>
                    </w:rPr>
                  </w:pPr>
                </w:p>
              </w:tc>
              <w:tc>
                <w:tcPr>
                  <w:tcW w:w="1987"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4"/>
                    </w:rPr>
                  </w:pPr>
                </w:p>
              </w:tc>
              <w:tc>
                <w:tcPr>
                  <w:tcW w:w="708"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4"/>
                    </w:rPr>
                  </w:pPr>
                </w:p>
              </w:tc>
              <w:tc>
                <w:tcPr>
                  <w:tcW w:w="709" w:type="dxa"/>
                  <w:vMerge/>
                  <w:tcBorders>
                    <w:top w:val="nil"/>
                    <w:left w:val="single" w:sz="4" w:space="0" w:color="auto"/>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4"/>
                    </w:rPr>
                  </w:pP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kern w:val="0"/>
                      <w:sz w:val="22"/>
                    </w:rPr>
                  </w:pPr>
                  <w:r>
                    <w:rPr>
                      <w:rFonts w:ascii="宋体" w:hAnsi="宋体" w:cs="宋体" w:hint="eastAsia"/>
                      <w:kern w:val="0"/>
                      <w:sz w:val="22"/>
                    </w:rPr>
                    <w:t>住院医事服务费</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床位费</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放射费</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护理费</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护理治疗费</w:t>
                  </w:r>
                </w:p>
              </w:tc>
              <w:tc>
                <w:tcPr>
                  <w:tcW w:w="85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监护及辅助呼吸费</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手术费</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输氧费</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一般检查费</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一般治疗费</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中医治疗费</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西药费</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中成药费</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中草药费</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抗菌药物费</w:t>
                  </w:r>
                </w:p>
              </w:tc>
            </w:tr>
            <w:tr w:rsidR="00A1073F" w:rsidTr="002A3C2C">
              <w:trPr>
                <w:trHeight w:val="395"/>
              </w:trPr>
              <w:tc>
                <w:tcPr>
                  <w:tcW w:w="707"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甲</w:t>
                  </w:r>
                </w:p>
              </w:tc>
              <w:tc>
                <w:tcPr>
                  <w:tcW w:w="198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乙</w:t>
                  </w:r>
                </w:p>
              </w:tc>
              <w:tc>
                <w:tcPr>
                  <w:tcW w:w="70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丙</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850"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4"/>
                    </w:rPr>
                  </w:pPr>
                  <w:r>
                    <w:rPr>
                      <w:rFonts w:ascii="宋体" w:hAnsi="宋体" w:cs="宋体" w:hint="eastAsia"/>
                      <w:color w:val="000000"/>
                      <w:kern w:val="0"/>
                      <w:sz w:val="24"/>
                    </w:rPr>
                    <w:t>17</w:t>
                  </w:r>
                </w:p>
              </w:tc>
            </w:tr>
            <w:tr w:rsidR="00A1073F" w:rsidTr="002A3C2C">
              <w:trPr>
                <w:trHeight w:val="274"/>
              </w:trPr>
              <w:tc>
                <w:tcPr>
                  <w:tcW w:w="707"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9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心绞痛</w:t>
                  </w:r>
                </w:p>
              </w:tc>
              <w:tc>
                <w:tcPr>
                  <w:tcW w:w="70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I20</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363"/>
              </w:trPr>
              <w:tc>
                <w:tcPr>
                  <w:tcW w:w="707"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9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脑梗死</w:t>
                  </w:r>
                </w:p>
              </w:tc>
              <w:tc>
                <w:tcPr>
                  <w:tcW w:w="70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I63</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297"/>
              </w:trPr>
              <w:tc>
                <w:tcPr>
                  <w:tcW w:w="707"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9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2型糖尿病</w:t>
                  </w:r>
                </w:p>
              </w:tc>
              <w:tc>
                <w:tcPr>
                  <w:tcW w:w="70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E11</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245"/>
              </w:trPr>
              <w:tc>
                <w:tcPr>
                  <w:tcW w:w="707"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9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老年性白内障</w:t>
                  </w:r>
                </w:p>
              </w:tc>
              <w:tc>
                <w:tcPr>
                  <w:tcW w:w="70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H25</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363"/>
              </w:trPr>
              <w:tc>
                <w:tcPr>
                  <w:tcW w:w="707"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9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肺炎</w:t>
                  </w:r>
                </w:p>
              </w:tc>
              <w:tc>
                <w:tcPr>
                  <w:tcW w:w="70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J18</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553"/>
              </w:trPr>
              <w:tc>
                <w:tcPr>
                  <w:tcW w:w="707"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9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慢性缺血性心脏病</w:t>
                  </w:r>
                </w:p>
              </w:tc>
              <w:tc>
                <w:tcPr>
                  <w:tcW w:w="70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I25</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420"/>
              </w:trPr>
              <w:tc>
                <w:tcPr>
                  <w:tcW w:w="707"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9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慢性阻塞性肺疾病</w:t>
                  </w:r>
                </w:p>
              </w:tc>
              <w:tc>
                <w:tcPr>
                  <w:tcW w:w="70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J44</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420"/>
              </w:trPr>
              <w:tc>
                <w:tcPr>
                  <w:tcW w:w="707"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9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急性心肌梗死</w:t>
                  </w:r>
                </w:p>
              </w:tc>
              <w:tc>
                <w:tcPr>
                  <w:tcW w:w="70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I21</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266"/>
              </w:trPr>
              <w:tc>
                <w:tcPr>
                  <w:tcW w:w="707"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9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高血压</w:t>
                  </w:r>
                </w:p>
              </w:tc>
              <w:tc>
                <w:tcPr>
                  <w:tcW w:w="70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I10</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420"/>
              </w:trPr>
              <w:tc>
                <w:tcPr>
                  <w:tcW w:w="707"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98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肺恶性肿瘤</w:t>
                  </w:r>
                </w:p>
              </w:tc>
              <w:tc>
                <w:tcPr>
                  <w:tcW w:w="70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C34</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2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360"/>
              </w:trPr>
              <w:tc>
                <w:tcPr>
                  <w:tcW w:w="14034" w:type="dxa"/>
                  <w:gridSpan w:val="20"/>
                  <w:tcBorders>
                    <w:top w:val="single" w:sz="4" w:space="0" w:color="auto"/>
                    <w:left w:val="nil"/>
                    <w:bottom w:val="nil"/>
                    <w:right w:val="nil"/>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说明：2&gt;3+4+5+6+7+8+9+10+11+12+13+14+15+16+17</w:t>
                  </w:r>
                </w:p>
              </w:tc>
            </w:tr>
          </w:tbl>
          <w:p w:rsidR="00A1073F" w:rsidRDefault="00A1073F" w:rsidP="002A3C2C">
            <w:pPr>
              <w:rPr>
                <w:rFonts w:ascii="黑体" w:eastAsia="黑体" w:hAnsi="黑体" w:hint="eastAsia"/>
                <w:bCs/>
                <w:sz w:val="32"/>
                <w:szCs w:val="32"/>
              </w:rPr>
            </w:pPr>
            <w:r>
              <w:rPr>
                <w:rFonts w:ascii="黑体" w:eastAsia="黑体" w:hAnsi="黑体" w:hint="eastAsia"/>
                <w:bCs/>
                <w:sz w:val="32"/>
                <w:szCs w:val="32"/>
              </w:rPr>
              <w:lastRenderedPageBreak/>
              <w:t>附件4</w:t>
            </w:r>
          </w:p>
          <w:p w:rsidR="00A1073F" w:rsidRDefault="00A1073F" w:rsidP="002A3C2C">
            <w:pPr>
              <w:widowControl/>
              <w:jc w:val="center"/>
              <w:rPr>
                <w:rFonts w:ascii="宋体" w:hAnsi="宋体" w:cs="宋体"/>
                <w:b/>
                <w:bCs/>
                <w:color w:val="000000"/>
                <w:kern w:val="0"/>
                <w:sz w:val="28"/>
                <w:szCs w:val="28"/>
              </w:rPr>
            </w:pPr>
            <w:r>
              <w:rPr>
                <w:rFonts w:ascii="方正小标宋简体" w:eastAsia="方正小标宋简体" w:hAnsi="方正小标宋简体" w:cs="方正小标宋简体" w:hint="eastAsia"/>
                <w:color w:val="000000"/>
                <w:kern w:val="0"/>
                <w:sz w:val="44"/>
                <w:szCs w:val="44"/>
              </w:rPr>
              <w:t>表4  改革监测药品周/月报表</w:t>
            </w:r>
          </w:p>
        </w:tc>
      </w:tr>
      <w:tr w:rsidR="00A1073F" w:rsidTr="002A3C2C">
        <w:trPr>
          <w:trHeight w:val="645"/>
        </w:trPr>
        <w:tc>
          <w:tcPr>
            <w:tcW w:w="774"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b/>
                <w:bCs/>
                <w:color w:val="000000"/>
                <w:kern w:val="0"/>
                <w:sz w:val="22"/>
              </w:rPr>
            </w:pPr>
            <w:r>
              <w:rPr>
                <w:rFonts w:ascii="宋体" w:hAnsi="宋体" w:cs="宋体" w:hint="eastAsia"/>
                <w:b/>
                <w:bCs/>
                <w:color w:val="000000"/>
                <w:kern w:val="0"/>
                <w:sz w:val="22"/>
              </w:rPr>
              <w:lastRenderedPageBreak/>
              <w:t>序号</w:t>
            </w:r>
          </w:p>
        </w:tc>
        <w:tc>
          <w:tcPr>
            <w:tcW w:w="2655"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b/>
                <w:bCs/>
                <w:color w:val="000000"/>
                <w:kern w:val="0"/>
                <w:sz w:val="22"/>
              </w:rPr>
            </w:pPr>
            <w:r>
              <w:rPr>
                <w:rFonts w:ascii="宋体" w:hAnsi="宋体" w:cs="宋体" w:hint="eastAsia"/>
                <w:b/>
                <w:bCs/>
                <w:color w:val="000000"/>
                <w:kern w:val="0"/>
                <w:sz w:val="22"/>
              </w:rPr>
              <w:t>产品名</w:t>
            </w:r>
          </w:p>
        </w:tc>
        <w:tc>
          <w:tcPr>
            <w:tcW w:w="3238"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b/>
                <w:bCs/>
                <w:color w:val="000000"/>
                <w:kern w:val="0"/>
                <w:sz w:val="22"/>
              </w:rPr>
            </w:pPr>
            <w:r>
              <w:rPr>
                <w:rFonts w:ascii="宋体" w:hAnsi="宋体" w:cs="宋体" w:hint="eastAsia"/>
                <w:b/>
                <w:bCs/>
                <w:color w:val="000000"/>
                <w:kern w:val="0"/>
                <w:sz w:val="22"/>
              </w:rPr>
              <w:t>产品id</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b/>
                <w:bCs/>
                <w:color w:val="000000"/>
                <w:kern w:val="0"/>
                <w:sz w:val="22"/>
              </w:rPr>
            </w:pPr>
            <w:r>
              <w:rPr>
                <w:rFonts w:ascii="宋体" w:hAnsi="宋体" w:cs="宋体" w:hint="eastAsia"/>
                <w:b/>
                <w:bCs/>
                <w:color w:val="000000"/>
                <w:kern w:val="0"/>
                <w:sz w:val="22"/>
              </w:rPr>
              <w:t>规格</w:t>
            </w:r>
          </w:p>
        </w:tc>
        <w:tc>
          <w:tcPr>
            <w:tcW w:w="141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b/>
                <w:bCs/>
                <w:color w:val="000000"/>
                <w:kern w:val="0"/>
                <w:sz w:val="22"/>
              </w:rPr>
            </w:pPr>
            <w:r>
              <w:rPr>
                <w:rFonts w:ascii="宋体" w:hAnsi="宋体" w:cs="宋体" w:hint="eastAsia"/>
                <w:b/>
                <w:bCs/>
                <w:color w:val="000000"/>
                <w:kern w:val="0"/>
                <w:sz w:val="22"/>
              </w:rPr>
              <w:t>单位</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b/>
                <w:bCs/>
                <w:color w:val="000000"/>
                <w:kern w:val="0"/>
                <w:sz w:val="22"/>
              </w:rPr>
            </w:pPr>
            <w:r>
              <w:rPr>
                <w:rFonts w:ascii="宋体" w:hAnsi="宋体" w:cs="宋体" w:hint="eastAsia"/>
                <w:b/>
                <w:bCs/>
                <w:color w:val="000000"/>
                <w:kern w:val="0"/>
                <w:sz w:val="22"/>
              </w:rPr>
              <w:t>采购量</w:t>
            </w:r>
          </w:p>
        </w:tc>
        <w:tc>
          <w:tcPr>
            <w:tcW w:w="127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b/>
                <w:bCs/>
                <w:color w:val="000000"/>
                <w:kern w:val="0"/>
                <w:sz w:val="22"/>
              </w:rPr>
            </w:pPr>
            <w:r>
              <w:rPr>
                <w:rFonts w:ascii="宋体" w:hAnsi="宋体" w:cs="宋体" w:hint="eastAsia"/>
                <w:b/>
                <w:bCs/>
                <w:color w:val="000000"/>
                <w:kern w:val="0"/>
                <w:sz w:val="22"/>
              </w:rPr>
              <w:t>销售总量</w:t>
            </w:r>
          </w:p>
        </w:tc>
        <w:tc>
          <w:tcPr>
            <w:tcW w:w="2773"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b/>
                <w:bCs/>
                <w:color w:val="000000"/>
                <w:kern w:val="0"/>
                <w:sz w:val="22"/>
              </w:rPr>
            </w:pPr>
            <w:r>
              <w:rPr>
                <w:rFonts w:ascii="宋体" w:hAnsi="宋体" w:cs="宋体" w:hint="eastAsia"/>
                <w:b/>
                <w:bCs/>
                <w:color w:val="000000"/>
                <w:kern w:val="0"/>
                <w:sz w:val="22"/>
              </w:rPr>
              <w:t>销售金额（元）</w:t>
            </w:r>
          </w:p>
        </w:tc>
      </w:tr>
      <w:tr w:rsidR="00A1073F" w:rsidTr="002A3C2C">
        <w:trPr>
          <w:trHeight w:val="585"/>
        </w:trPr>
        <w:tc>
          <w:tcPr>
            <w:tcW w:w="774"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265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阿托伐他汀钙片(薄膜衣)</w:t>
            </w:r>
          </w:p>
        </w:tc>
        <w:tc>
          <w:tcPr>
            <w:tcW w:w="32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DATA10000000000013491851</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20mg</w:t>
            </w:r>
          </w:p>
        </w:tc>
        <w:tc>
          <w:tcPr>
            <w:tcW w:w="141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FF0000"/>
                <w:kern w:val="0"/>
                <w:sz w:val="22"/>
              </w:rPr>
            </w:pPr>
            <w:r>
              <w:rPr>
                <w:rFonts w:ascii="宋体" w:hAnsi="宋体" w:cs="宋体" w:hint="eastAsia"/>
                <w:color w:val="FF0000"/>
                <w:kern w:val="0"/>
                <w:sz w:val="22"/>
              </w:rPr>
              <w:t xml:space="preserve">　</w:t>
            </w:r>
          </w:p>
        </w:tc>
        <w:tc>
          <w:tcPr>
            <w:tcW w:w="127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773"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585"/>
        </w:trPr>
        <w:tc>
          <w:tcPr>
            <w:tcW w:w="774"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65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硫酸氢氯吡格雷片(薄膜衣)</w:t>
            </w:r>
          </w:p>
        </w:tc>
        <w:tc>
          <w:tcPr>
            <w:tcW w:w="32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FR20T0000003000000101289</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75mg</w:t>
            </w:r>
          </w:p>
        </w:tc>
        <w:tc>
          <w:tcPr>
            <w:tcW w:w="141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7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773"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585"/>
        </w:trPr>
        <w:tc>
          <w:tcPr>
            <w:tcW w:w="774"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265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阿卡波糖片</w:t>
            </w:r>
          </w:p>
        </w:tc>
        <w:tc>
          <w:tcPr>
            <w:tcW w:w="32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FR20T0000003000000097534</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50mg</w:t>
            </w:r>
          </w:p>
        </w:tc>
        <w:tc>
          <w:tcPr>
            <w:tcW w:w="141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7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773"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585"/>
        </w:trPr>
        <w:tc>
          <w:tcPr>
            <w:tcW w:w="774"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265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百令胶囊</w:t>
            </w:r>
          </w:p>
        </w:tc>
        <w:tc>
          <w:tcPr>
            <w:tcW w:w="32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DATA10000000000012534148</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0.5g</w:t>
            </w:r>
          </w:p>
        </w:tc>
        <w:tc>
          <w:tcPr>
            <w:tcW w:w="141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7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773"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585"/>
        </w:trPr>
        <w:tc>
          <w:tcPr>
            <w:tcW w:w="774"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65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硫酸氢氯吡格雷片(薄膜衣)</w:t>
            </w:r>
          </w:p>
        </w:tc>
        <w:tc>
          <w:tcPr>
            <w:tcW w:w="32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DATA10000000000013451188</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25mg</w:t>
            </w:r>
          </w:p>
        </w:tc>
        <w:tc>
          <w:tcPr>
            <w:tcW w:w="141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7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773"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585"/>
        </w:trPr>
        <w:tc>
          <w:tcPr>
            <w:tcW w:w="774"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265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苯磺酸氨氯地平片</w:t>
            </w:r>
          </w:p>
        </w:tc>
        <w:tc>
          <w:tcPr>
            <w:tcW w:w="32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FR20T0000003000000001739</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5mg</w:t>
            </w:r>
          </w:p>
        </w:tc>
        <w:tc>
          <w:tcPr>
            <w:tcW w:w="141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7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773"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585"/>
        </w:trPr>
        <w:tc>
          <w:tcPr>
            <w:tcW w:w="774"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265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康莱特注射液</w:t>
            </w:r>
          </w:p>
        </w:tc>
        <w:tc>
          <w:tcPr>
            <w:tcW w:w="32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FR20T0000003000000090035</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100ml:10g</w:t>
            </w:r>
          </w:p>
        </w:tc>
        <w:tc>
          <w:tcPr>
            <w:tcW w:w="141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7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773"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585"/>
        </w:trPr>
        <w:tc>
          <w:tcPr>
            <w:tcW w:w="774"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265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盐酸二甲双胍片(薄膜衣)</w:t>
            </w:r>
          </w:p>
        </w:tc>
        <w:tc>
          <w:tcPr>
            <w:tcW w:w="32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FR20T0000003000000103831</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0.5g</w:t>
            </w:r>
          </w:p>
        </w:tc>
        <w:tc>
          <w:tcPr>
            <w:tcW w:w="141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7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773"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585"/>
        </w:trPr>
        <w:tc>
          <w:tcPr>
            <w:tcW w:w="774"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265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丹红注射液</w:t>
            </w:r>
          </w:p>
        </w:tc>
        <w:tc>
          <w:tcPr>
            <w:tcW w:w="32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DATA10000000000001041770</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10ml</w:t>
            </w:r>
          </w:p>
        </w:tc>
        <w:tc>
          <w:tcPr>
            <w:tcW w:w="141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支</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7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773"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A1073F" w:rsidTr="002A3C2C">
        <w:trPr>
          <w:trHeight w:val="585"/>
        </w:trPr>
        <w:tc>
          <w:tcPr>
            <w:tcW w:w="774" w:type="dxa"/>
            <w:tcBorders>
              <w:top w:val="nil"/>
              <w:left w:val="single" w:sz="4" w:space="0" w:color="auto"/>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2655"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硝苯地平控释片</w:t>
            </w:r>
          </w:p>
        </w:tc>
        <w:tc>
          <w:tcPr>
            <w:tcW w:w="3238"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DATA10000000000013477561</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30mg</w:t>
            </w:r>
          </w:p>
        </w:tc>
        <w:tc>
          <w:tcPr>
            <w:tcW w:w="1417" w:type="dxa"/>
            <w:tcBorders>
              <w:top w:val="nil"/>
              <w:left w:val="nil"/>
              <w:bottom w:val="single" w:sz="4" w:space="0" w:color="auto"/>
              <w:right w:val="single" w:sz="4" w:space="0" w:color="auto"/>
            </w:tcBorders>
            <w:vAlign w:val="center"/>
          </w:tcPr>
          <w:p w:rsidR="00A1073F" w:rsidRDefault="00A1073F" w:rsidP="002A3C2C">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134"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77"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773" w:type="dxa"/>
            <w:tcBorders>
              <w:top w:val="nil"/>
              <w:left w:val="nil"/>
              <w:bottom w:val="single" w:sz="4" w:space="0" w:color="auto"/>
              <w:right w:val="single" w:sz="4" w:space="0" w:color="auto"/>
            </w:tcBorders>
            <w:vAlign w:val="center"/>
          </w:tcPr>
          <w:p w:rsidR="00A1073F" w:rsidRDefault="00A1073F" w:rsidP="002A3C2C">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bl>
    <w:p w:rsidR="00A1073F" w:rsidRDefault="00A1073F" w:rsidP="00A1073F">
      <w:pPr>
        <w:jc w:val="left"/>
        <w:rPr>
          <w:rFonts w:ascii="仿宋_GB2312" w:eastAsia="仿宋_GB2312"/>
          <w:b/>
          <w:sz w:val="32"/>
          <w:szCs w:val="32"/>
        </w:rPr>
        <w:sectPr w:rsidR="00A1073F">
          <w:pgSz w:w="16838" w:h="11906" w:orient="landscape"/>
          <w:pgMar w:top="1797" w:right="1440" w:bottom="1797" w:left="1440" w:header="851" w:footer="992" w:gutter="0"/>
          <w:pgNumType w:fmt="numberInDash"/>
          <w:cols w:space="720"/>
          <w:docGrid w:type="lines" w:linePitch="312"/>
        </w:sectPr>
      </w:pPr>
    </w:p>
    <w:p w:rsidR="00A1073F" w:rsidRDefault="00A1073F" w:rsidP="00A1073F">
      <w:pPr>
        <w:jc w:val="left"/>
        <w:rPr>
          <w:rFonts w:ascii="仿宋_GB2312" w:eastAsia="仿宋_GB2312"/>
          <w:b/>
          <w:sz w:val="36"/>
          <w:szCs w:val="36"/>
        </w:rPr>
      </w:pPr>
      <w:r>
        <w:rPr>
          <w:rFonts w:ascii="黑体" w:eastAsia="黑体" w:hAnsi="黑体" w:cs="黑体" w:hint="eastAsia"/>
          <w:bCs/>
          <w:sz w:val="32"/>
          <w:szCs w:val="32"/>
        </w:rPr>
        <w:lastRenderedPageBreak/>
        <w:t xml:space="preserve">附件5 </w:t>
      </w:r>
      <w:r>
        <w:rPr>
          <w:rFonts w:ascii="仿宋_GB2312" w:eastAsia="仿宋_GB2312" w:hint="eastAsia"/>
          <w:b/>
          <w:sz w:val="36"/>
          <w:szCs w:val="36"/>
        </w:rPr>
        <w:t xml:space="preserve">        </w:t>
      </w:r>
    </w:p>
    <w:p w:rsidR="00A1073F" w:rsidRDefault="00A1073F" w:rsidP="00A1073F">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联系人回执</w:t>
      </w:r>
    </w:p>
    <w:tbl>
      <w:tblPr>
        <w:tblpPr w:leftFromText="180" w:rightFromText="180" w:vertAnchor="text" w:horzAnchor="margin" w:tblpXSpec="center" w:tblpY="18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880"/>
        <w:gridCol w:w="1231"/>
        <w:gridCol w:w="3033"/>
      </w:tblGrid>
      <w:tr w:rsidR="00A1073F" w:rsidTr="002A3C2C">
        <w:trPr>
          <w:jc w:val="center"/>
        </w:trPr>
        <w:tc>
          <w:tcPr>
            <w:tcW w:w="1384" w:type="dxa"/>
          </w:tcPr>
          <w:p w:rsidR="00A1073F" w:rsidRDefault="00A1073F" w:rsidP="002A3C2C">
            <w:pPr>
              <w:jc w:val="center"/>
              <w:rPr>
                <w:rFonts w:ascii="仿宋_GB2312" w:eastAsia="仿宋_GB2312"/>
                <w:sz w:val="32"/>
                <w:szCs w:val="32"/>
              </w:rPr>
            </w:pPr>
            <w:r>
              <w:rPr>
                <w:rFonts w:ascii="仿宋_GB2312" w:eastAsia="仿宋_GB2312" w:hint="eastAsia"/>
                <w:sz w:val="32"/>
                <w:szCs w:val="32"/>
              </w:rPr>
              <w:t>单位</w:t>
            </w:r>
          </w:p>
        </w:tc>
        <w:tc>
          <w:tcPr>
            <w:tcW w:w="2880" w:type="dxa"/>
          </w:tcPr>
          <w:p w:rsidR="00A1073F" w:rsidRDefault="00A1073F" w:rsidP="002A3C2C">
            <w:pPr>
              <w:jc w:val="center"/>
              <w:rPr>
                <w:rFonts w:ascii="仿宋_GB2312" w:eastAsia="仿宋_GB2312"/>
                <w:sz w:val="32"/>
                <w:szCs w:val="32"/>
              </w:rPr>
            </w:pPr>
          </w:p>
        </w:tc>
        <w:tc>
          <w:tcPr>
            <w:tcW w:w="1231" w:type="dxa"/>
          </w:tcPr>
          <w:p w:rsidR="00A1073F" w:rsidRDefault="00A1073F" w:rsidP="002A3C2C">
            <w:pPr>
              <w:jc w:val="center"/>
              <w:rPr>
                <w:rFonts w:ascii="仿宋_GB2312" w:eastAsia="仿宋_GB2312"/>
                <w:sz w:val="32"/>
                <w:szCs w:val="32"/>
              </w:rPr>
            </w:pPr>
            <w:r>
              <w:rPr>
                <w:rFonts w:ascii="仿宋_GB2312" w:eastAsia="仿宋_GB2312" w:hint="eastAsia"/>
                <w:sz w:val="32"/>
                <w:szCs w:val="32"/>
              </w:rPr>
              <w:t>部门</w:t>
            </w:r>
          </w:p>
        </w:tc>
        <w:tc>
          <w:tcPr>
            <w:tcW w:w="3033" w:type="dxa"/>
          </w:tcPr>
          <w:p w:rsidR="00A1073F" w:rsidRDefault="00A1073F" w:rsidP="002A3C2C">
            <w:pPr>
              <w:jc w:val="left"/>
              <w:rPr>
                <w:rFonts w:ascii="仿宋_GB2312" w:eastAsia="仿宋_GB2312"/>
                <w:sz w:val="32"/>
                <w:szCs w:val="32"/>
              </w:rPr>
            </w:pPr>
          </w:p>
        </w:tc>
      </w:tr>
      <w:tr w:rsidR="00A1073F" w:rsidTr="002A3C2C">
        <w:trPr>
          <w:jc w:val="center"/>
        </w:trPr>
        <w:tc>
          <w:tcPr>
            <w:tcW w:w="1384" w:type="dxa"/>
          </w:tcPr>
          <w:p w:rsidR="00A1073F" w:rsidRDefault="00A1073F" w:rsidP="002A3C2C">
            <w:pPr>
              <w:jc w:val="center"/>
              <w:rPr>
                <w:rFonts w:ascii="仿宋_GB2312" w:eastAsia="仿宋_GB2312"/>
                <w:sz w:val="32"/>
                <w:szCs w:val="32"/>
              </w:rPr>
            </w:pPr>
            <w:r>
              <w:rPr>
                <w:rFonts w:ascii="仿宋_GB2312" w:eastAsia="仿宋_GB2312" w:hint="eastAsia"/>
                <w:sz w:val="32"/>
                <w:szCs w:val="32"/>
              </w:rPr>
              <w:t>姓名</w:t>
            </w:r>
          </w:p>
        </w:tc>
        <w:tc>
          <w:tcPr>
            <w:tcW w:w="2880" w:type="dxa"/>
          </w:tcPr>
          <w:p w:rsidR="00A1073F" w:rsidRDefault="00A1073F" w:rsidP="002A3C2C">
            <w:pPr>
              <w:jc w:val="center"/>
              <w:rPr>
                <w:rFonts w:ascii="仿宋_GB2312" w:eastAsia="仿宋_GB2312"/>
                <w:sz w:val="32"/>
                <w:szCs w:val="32"/>
              </w:rPr>
            </w:pPr>
          </w:p>
        </w:tc>
        <w:tc>
          <w:tcPr>
            <w:tcW w:w="1231" w:type="dxa"/>
          </w:tcPr>
          <w:p w:rsidR="00A1073F" w:rsidRDefault="00A1073F" w:rsidP="002A3C2C">
            <w:pPr>
              <w:jc w:val="center"/>
              <w:rPr>
                <w:rFonts w:ascii="仿宋_GB2312" w:eastAsia="仿宋_GB2312"/>
                <w:sz w:val="32"/>
                <w:szCs w:val="32"/>
              </w:rPr>
            </w:pPr>
            <w:r>
              <w:rPr>
                <w:rFonts w:ascii="仿宋_GB2312" w:eastAsia="仿宋_GB2312" w:hint="eastAsia"/>
                <w:sz w:val="32"/>
                <w:szCs w:val="32"/>
              </w:rPr>
              <w:t>职务</w:t>
            </w:r>
          </w:p>
        </w:tc>
        <w:tc>
          <w:tcPr>
            <w:tcW w:w="3033" w:type="dxa"/>
          </w:tcPr>
          <w:p w:rsidR="00A1073F" w:rsidRDefault="00A1073F" w:rsidP="002A3C2C">
            <w:pPr>
              <w:jc w:val="left"/>
              <w:rPr>
                <w:rFonts w:ascii="仿宋_GB2312" w:eastAsia="仿宋_GB2312"/>
                <w:sz w:val="32"/>
                <w:szCs w:val="32"/>
              </w:rPr>
            </w:pPr>
          </w:p>
        </w:tc>
      </w:tr>
      <w:tr w:rsidR="00A1073F" w:rsidTr="002A3C2C">
        <w:trPr>
          <w:jc w:val="center"/>
        </w:trPr>
        <w:tc>
          <w:tcPr>
            <w:tcW w:w="1384" w:type="dxa"/>
          </w:tcPr>
          <w:p w:rsidR="00A1073F" w:rsidRDefault="00A1073F" w:rsidP="002A3C2C">
            <w:pPr>
              <w:jc w:val="center"/>
              <w:rPr>
                <w:rFonts w:ascii="仿宋_GB2312" w:eastAsia="仿宋_GB2312"/>
                <w:sz w:val="32"/>
                <w:szCs w:val="32"/>
              </w:rPr>
            </w:pPr>
            <w:r>
              <w:rPr>
                <w:rFonts w:ascii="仿宋_GB2312" w:eastAsia="仿宋_GB2312" w:hint="eastAsia"/>
                <w:sz w:val="32"/>
                <w:szCs w:val="32"/>
              </w:rPr>
              <w:t>座机</w:t>
            </w:r>
          </w:p>
        </w:tc>
        <w:tc>
          <w:tcPr>
            <w:tcW w:w="2880" w:type="dxa"/>
          </w:tcPr>
          <w:p w:rsidR="00A1073F" w:rsidRDefault="00A1073F" w:rsidP="002A3C2C">
            <w:pPr>
              <w:jc w:val="center"/>
              <w:rPr>
                <w:rFonts w:ascii="仿宋_GB2312" w:eastAsia="仿宋_GB2312"/>
                <w:sz w:val="32"/>
                <w:szCs w:val="32"/>
              </w:rPr>
            </w:pPr>
          </w:p>
        </w:tc>
        <w:tc>
          <w:tcPr>
            <w:tcW w:w="1231" w:type="dxa"/>
          </w:tcPr>
          <w:p w:rsidR="00A1073F" w:rsidRDefault="00A1073F" w:rsidP="002A3C2C">
            <w:pPr>
              <w:jc w:val="center"/>
              <w:rPr>
                <w:rFonts w:ascii="仿宋_GB2312" w:eastAsia="仿宋_GB2312"/>
                <w:sz w:val="32"/>
                <w:szCs w:val="32"/>
              </w:rPr>
            </w:pPr>
            <w:r>
              <w:rPr>
                <w:rFonts w:ascii="仿宋_GB2312" w:eastAsia="仿宋_GB2312" w:hint="eastAsia"/>
                <w:sz w:val="32"/>
                <w:szCs w:val="32"/>
              </w:rPr>
              <w:t>手机</w:t>
            </w:r>
          </w:p>
        </w:tc>
        <w:tc>
          <w:tcPr>
            <w:tcW w:w="3033" w:type="dxa"/>
          </w:tcPr>
          <w:p w:rsidR="00A1073F" w:rsidRDefault="00A1073F" w:rsidP="002A3C2C">
            <w:pPr>
              <w:jc w:val="left"/>
              <w:rPr>
                <w:rFonts w:ascii="仿宋_GB2312" w:eastAsia="仿宋_GB2312"/>
                <w:sz w:val="32"/>
                <w:szCs w:val="32"/>
              </w:rPr>
            </w:pPr>
          </w:p>
        </w:tc>
      </w:tr>
      <w:tr w:rsidR="00A1073F" w:rsidTr="002A3C2C">
        <w:trPr>
          <w:jc w:val="center"/>
        </w:trPr>
        <w:tc>
          <w:tcPr>
            <w:tcW w:w="1384" w:type="dxa"/>
          </w:tcPr>
          <w:p w:rsidR="00A1073F" w:rsidRDefault="00A1073F" w:rsidP="002A3C2C">
            <w:pPr>
              <w:jc w:val="center"/>
              <w:rPr>
                <w:rFonts w:ascii="仿宋_GB2312" w:eastAsia="仿宋_GB2312"/>
                <w:sz w:val="32"/>
                <w:szCs w:val="32"/>
              </w:rPr>
            </w:pPr>
            <w:r>
              <w:rPr>
                <w:rFonts w:ascii="仿宋_GB2312" w:eastAsia="仿宋_GB2312" w:hint="eastAsia"/>
                <w:sz w:val="32"/>
                <w:szCs w:val="32"/>
              </w:rPr>
              <w:t>传真</w:t>
            </w:r>
          </w:p>
        </w:tc>
        <w:tc>
          <w:tcPr>
            <w:tcW w:w="2880" w:type="dxa"/>
          </w:tcPr>
          <w:p w:rsidR="00A1073F" w:rsidRDefault="00A1073F" w:rsidP="002A3C2C">
            <w:pPr>
              <w:jc w:val="center"/>
              <w:rPr>
                <w:rFonts w:ascii="仿宋_GB2312" w:eastAsia="仿宋_GB2312"/>
                <w:sz w:val="32"/>
                <w:szCs w:val="32"/>
              </w:rPr>
            </w:pPr>
          </w:p>
        </w:tc>
        <w:tc>
          <w:tcPr>
            <w:tcW w:w="1231" w:type="dxa"/>
          </w:tcPr>
          <w:p w:rsidR="00A1073F" w:rsidRDefault="00A1073F" w:rsidP="002A3C2C">
            <w:pPr>
              <w:jc w:val="center"/>
              <w:rPr>
                <w:rFonts w:ascii="仿宋_GB2312" w:eastAsia="仿宋_GB2312"/>
                <w:sz w:val="32"/>
                <w:szCs w:val="32"/>
              </w:rPr>
            </w:pPr>
            <w:r>
              <w:rPr>
                <w:rFonts w:ascii="仿宋_GB2312" w:eastAsia="仿宋_GB2312" w:hint="eastAsia"/>
                <w:sz w:val="32"/>
                <w:szCs w:val="32"/>
              </w:rPr>
              <w:t>邮箱</w:t>
            </w:r>
          </w:p>
        </w:tc>
        <w:tc>
          <w:tcPr>
            <w:tcW w:w="3033" w:type="dxa"/>
          </w:tcPr>
          <w:p w:rsidR="00A1073F" w:rsidRDefault="00A1073F" w:rsidP="002A3C2C">
            <w:pPr>
              <w:jc w:val="left"/>
              <w:rPr>
                <w:rFonts w:ascii="仿宋_GB2312" w:eastAsia="仿宋_GB2312"/>
                <w:sz w:val="32"/>
                <w:szCs w:val="32"/>
              </w:rPr>
            </w:pPr>
          </w:p>
        </w:tc>
      </w:tr>
    </w:tbl>
    <w:p w:rsidR="00A1073F" w:rsidRDefault="00A1073F" w:rsidP="00A1073F">
      <w:pPr>
        <w:jc w:val="left"/>
        <w:rPr>
          <w:rFonts w:ascii="仿宋_GB2312" w:eastAsia="仿宋_GB2312"/>
          <w:b/>
          <w:sz w:val="32"/>
          <w:szCs w:val="32"/>
        </w:rPr>
      </w:pPr>
    </w:p>
    <w:p w:rsidR="00A1073F" w:rsidRDefault="00A1073F" w:rsidP="00A1073F">
      <w:pPr>
        <w:tabs>
          <w:tab w:val="left" w:pos="1665"/>
          <w:tab w:val="center" w:pos="4422"/>
        </w:tabs>
        <w:jc w:val="left"/>
        <w:rPr>
          <w:rFonts w:ascii="仿宋_GB2312" w:eastAsia="仿宋_GB2312" w:hint="eastAsia"/>
          <w:sz w:val="32"/>
          <w:szCs w:val="32"/>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ind w:right="600"/>
        <w:rPr>
          <w:rFonts w:ascii="仿宋_GB2312" w:eastAsia="仿宋_GB2312" w:hint="eastAsia"/>
          <w:sz w:val="24"/>
        </w:rPr>
      </w:pPr>
    </w:p>
    <w:p w:rsidR="00A1073F" w:rsidRDefault="00A1073F" w:rsidP="00A1073F">
      <w:pPr>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u w:val="single"/>
        </w:rPr>
        <w:t xml:space="preserve">                                                                  </w:t>
      </w:r>
    </w:p>
    <w:p w:rsidR="00A1073F" w:rsidRDefault="00A1073F" w:rsidP="00A1073F">
      <w:pPr>
        <w:ind w:right="80"/>
        <w:rPr>
          <w:rFonts w:ascii="仿宋_GB2312" w:eastAsia="仿宋_GB2312" w:hint="eastAsia"/>
          <w:sz w:val="24"/>
        </w:rPr>
      </w:pPr>
      <w:r>
        <w:rPr>
          <w:rFonts w:ascii="仿宋_GB2312" w:eastAsia="仿宋_GB2312" w:hAnsi="仿宋_GB2312" w:cs="仿宋_GB2312" w:hint="eastAsia"/>
          <w:sz w:val="28"/>
          <w:szCs w:val="28"/>
          <w:u w:val="single"/>
        </w:rPr>
        <w:t xml:space="preserve">  北京市卫生计生委办公室                  2017年3月22日印发  </w:t>
      </w:r>
    </w:p>
    <w:p w:rsidR="006C64AB" w:rsidRPr="00A1073F" w:rsidRDefault="006C64AB"/>
    <w:sectPr w:rsidR="006C64AB" w:rsidRPr="00A1073F">
      <w:pgSz w:w="11906" w:h="16838"/>
      <w:pgMar w:top="1985" w:right="1418" w:bottom="1418"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CF8" w:rsidRDefault="00621CF8" w:rsidP="006C64AB">
      <w:r>
        <w:separator/>
      </w:r>
    </w:p>
  </w:endnote>
  <w:endnote w:type="continuationSeparator" w:id="1">
    <w:p w:rsidR="00621CF8" w:rsidRDefault="00621CF8" w:rsidP="006C64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3F" w:rsidRDefault="00A1073F">
    <w:pPr>
      <w:pStyle w:val="a5"/>
    </w:pPr>
    <w:r>
      <w:rPr>
        <w:rFonts w:ascii="Calibri" w:hAnsi="Calibri" w:cs="黑体"/>
      </w:rPr>
      <w:pict>
        <v:shapetype id="_x0000_t202" coordsize="21600,21600" o:spt="202" path="m,l,21600r21600,l21600,xe">
          <v:stroke joinstyle="miter"/>
          <v:path gradientshapeok="t" o:connecttype="rect"/>
        </v:shapetype>
        <v:shape id="文本框 1" o:spid="_x0000_s1025" type="#_x0000_t202" style="position:absolute;margin-left:104pt;margin-top:0;width:2in;height:2in;z-index:251660288;mso-wrap-style:none;mso-position-horizontal:outside;mso-position-horizontal-relative:margin" filled="f" stroked="f">
          <v:textbox style="mso-fit-shape-to-text:t" inset="0,0,0,0">
            <w:txbxContent>
              <w:p w:rsidR="00A1073F" w:rsidRDefault="00A1073F">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A1073F">
                  <w:rPr>
                    <w:noProof/>
                  </w:rPr>
                  <w:t>- 18 -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CF8" w:rsidRDefault="00621CF8" w:rsidP="006C64AB">
      <w:r>
        <w:separator/>
      </w:r>
    </w:p>
  </w:footnote>
  <w:footnote w:type="continuationSeparator" w:id="1">
    <w:p w:rsidR="00621CF8" w:rsidRDefault="00621CF8" w:rsidP="006C6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3F" w:rsidRDefault="00A1073F">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6290"/>
    <w:multiLevelType w:val="multilevel"/>
    <w:tmpl w:val="092462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149967D0"/>
    <w:multiLevelType w:val="multilevel"/>
    <w:tmpl w:val="149967D0"/>
    <w:lvl w:ilvl="0">
      <w:start w:val="1"/>
      <w:numFmt w:val="decimal"/>
      <w:lvlText w:val="%1"/>
      <w:lvlJc w:val="left"/>
      <w:pPr>
        <w:tabs>
          <w:tab w:val="num" w:pos="905"/>
        </w:tabs>
        <w:ind w:left="905" w:hanging="425"/>
      </w:pPr>
    </w:lvl>
    <w:lvl w:ilvl="1">
      <w:start w:val="1"/>
      <w:numFmt w:val="decimal"/>
      <w:lvlText w:val="%1.%2"/>
      <w:lvlJc w:val="left"/>
      <w:pPr>
        <w:tabs>
          <w:tab w:val="num" w:pos="1472"/>
        </w:tabs>
        <w:ind w:left="1472" w:hanging="567"/>
      </w:pPr>
    </w:lvl>
    <w:lvl w:ilvl="2">
      <w:start w:val="1"/>
      <w:numFmt w:val="decimal"/>
      <w:lvlText w:val="%1.%2.%3"/>
      <w:lvlJc w:val="left"/>
      <w:pPr>
        <w:tabs>
          <w:tab w:val="num" w:pos="1898"/>
        </w:tabs>
        <w:ind w:left="1898" w:hanging="567"/>
      </w:pPr>
    </w:lvl>
    <w:lvl w:ilvl="3">
      <w:start w:val="1"/>
      <w:numFmt w:val="decimal"/>
      <w:lvlText w:val="%1.%2.%3.%4"/>
      <w:lvlJc w:val="left"/>
      <w:pPr>
        <w:tabs>
          <w:tab w:val="num" w:pos="2836"/>
        </w:tabs>
        <w:ind w:left="2464" w:hanging="708"/>
      </w:pPr>
    </w:lvl>
    <w:lvl w:ilvl="4">
      <w:start w:val="1"/>
      <w:numFmt w:val="decimal"/>
      <w:lvlText w:val="%1.%2.%3.%4.%5"/>
      <w:lvlJc w:val="left"/>
      <w:pPr>
        <w:tabs>
          <w:tab w:val="num" w:pos="3261"/>
        </w:tabs>
        <w:ind w:left="3031" w:hanging="850"/>
      </w:pPr>
    </w:lvl>
    <w:lvl w:ilvl="5">
      <w:start w:val="1"/>
      <w:numFmt w:val="decimal"/>
      <w:lvlText w:val="%1.%2.%3.%4.%5.%6"/>
      <w:lvlJc w:val="left"/>
      <w:pPr>
        <w:tabs>
          <w:tab w:val="num" w:pos="4046"/>
        </w:tabs>
        <w:ind w:left="3740" w:hanging="1134"/>
      </w:pPr>
    </w:lvl>
    <w:lvl w:ilvl="6">
      <w:start w:val="1"/>
      <w:numFmt w:val="decimal"/>
      <w:lvlText w:val="%1.%2.%3.%4.%5.%6.%7"/>
      <w:lvlJc w:val="left"/>
      <w:pPr>
        <w:tabs>
          <w:tab w:val="num" w:pos="4471"/>
        </w:tabs>
        <w:ind w:left="4307" w:hanging="1276"/>
      </w:pPr>
    </w:lvl>
    <w:lvl w:ilvl="7">
      <w:start w:val="1"/>
      <w:numFmt w:val="decimal"/>
      <w:lvlText w:val="%1.%2.%3.%4.%5.%6.%7.%8"/>
      <w:lvlJc w:val="left"/>
      <w:pPr>
        <w:tabs>
          <w:tab w:val="num" w:pos="5256"/>
        </w:tabs>
        <w:ind w:left="4874" w:hanging="1418"/>
      </w:pPr>
    </w:lvl>
    <w:lvl w:ilvl="8">
      <w:start w:val="1"/>
      <w:numFmt w:val="decimal"/>
      <w:lvlText w:val="%1.%2.%3.%4.%5.%6.%7.%8.%9"/>
      <w:lvlJc w:val="left"/>
      <w:pPr>
        <w:tabs>
          <w:tab w:val="num" w:pos="6042"/>
        </w:tabs>
        <w:ind w:left="5582" w:hanging="17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64AB"/>
    <w:rsid w:val="001F3F63"/>
    <w:rsid w:val="00621CF8"/>
    <w:rsid w:val="006C64AB"/>
    <w:rsid w:val="00864799"/>
    <w:rsid w:val="00A10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3F"/>
    <w:pPr>
      <w:widowControl w:val="0"/>
      <w:jc w:val="both"/>
    </w:pPr>
    <w:rPr>
      <w:rFonts w:ascii="Times New Roman" w:eastAsia="宋体" w:hAnsi="Times New Roman" w:cs="Times New Roman"/>
      <w:szCs w:val="24"/>
    </w:rPr>
  </w:style>
  <w:style w:type="paragraph" w:styleId="3">
    <w:name w:val="heading 3"/>
    <w:basedOn w:val="a"/>
    <w:next w:val="a"/>
    <w:link w:val="3Char"/>
    <w:qFormat/>
    <w:rsid w:val="00A1073F"/>
    <w:pPr>
      <w:keepNext/>
      <w:keepLines/>
      <w:numPr>
        <w:numId w:val="1"/>
      </w:numPr>
      <w:tabs>
        <w:tab w:val="left" w:pos="420"/>
      </w:tabs>
      <w:spacing w:before="260" w:after="260" w:line="416" w:lineRule="auto"/>
      <w:outlineLvl w:val="2"/>
    </w:pPr>
    <w:rPr>
      <w:b/>
      <w:bCs/>
      <w:sz w:val="32"/>
      <w:szCs w:val="32"/>
    </w:rPr>
  </w:style>
  <w:style w:type="paragraph" w:styleId="4">
    <w:name w:val="heading 4"/>
    <w:basedOn w:val="a"/>
    <w:next w:val="a0"/>
    <w:link w:val="4Char"/>
    <w:qFormat/>
    <w:rsid w:val="00A1073F"/>
    <w:pPr>
      <w:tabs>
        <w:tab w:val="left" w:pos="864"/>
      </w:tabs>
      <w:spacing w:before="120"/>
      <w:ind w:left="864" w:hanging="864"/>
      <w:outlineLvl w:val="3"/>
    </w:pPr>
    <w:rPr>
      <w:rFonts w:ascii="Arial" w:hAnsi="Arial"/>
      <w:b/>
      <w:kern w:val="24"/>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C6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C64AB"/>
    <w:rPr>
      <w:sz w:val="18"/>
      <w:szCs w:val="18"/>
    </w:rPr>
  </w:style>
  <w:style w:type="paragraph" w:styleId="a5">
    <w:name w:val="footer"/>
    <w:basedOn w:val="a"/>
    <w:link w:val="Char0"/>
    <w:unhideWhenUsed/>
    <w:rsid w:val="006C64AB"/>
    <w:pPr>
      <w:tabs>
        <w:tab w:val="center" w:pos="4153"/>
        <w:tab w:val="right" w:pos="8306"/>
      </w:tabs>
      <w:snapToGrid w:val="0"/>
      <w:jc w:val="left"/>
    </w:pPr>
    <w:rPr>
      <w:sz w:val="18"/>
      <w:szCs w:val="18"/>
    </w:rPr>
  </w:style>
  <w:style w:type="character" w:customStyle="1" w:styleId="Char0">
    <w:name w:val="页脚 Char"/>
    <w:basedOn w:val="a1"/>
    <w:link w:val="a5"/>
    <w:rsid w:val="006C64AB"/>
    <w:rPr>
      <w:sz w:val="18"/>
      <w:szCs w:val="18"/>
    </w:rPr>
  </w:style>
  <w:style w:type="paragraph" w:styleId="a6">
    <w:name w:val="Balloon Text"/>
    <w:basedOn w:val="a"/>
    <w:link w:val="Char1"/>
    <w:uiPriority w:val="99"/>
    <w:semiHidden/>
    <w:unhideWhenUsed/>
    <w:rsid w:val="006C64AB"/>
    <w:rPr>
      <w:sz w:val="18"/>
      <w:szCs w:val="18"/>
    </w:rPr>
  </w:style>
  <w:style w:type="character" w:customStyle="1" w:styleId="Char1">
    <w:name w:val="批注框文本 Char"/>
    <w:basedOn w:val="a1"/>
    <w:link w:val="a6"/>
    <w:uiPriority w:val="99"/>
    <w:semiHidden/>
    <w:rsid w:val="006C64AB"/>
    <w:rPr>
      <w:sz w:val="18"/>
      <w:szCs w:val="18"/>
    </w:rPr>
  </w:style>
  <w:style w:type="character" w:customStyle="1" w:styleId="3Char">
    <w:name w:val="标题 3 Char"/>
    <w:basedOn w:val="a1"/>
    <w:link w:val="3"/>
    <w:rsid w:val="00A1073F"/>
    <w:rPr>
      <w:rFonts w:ascii="Times New Roman" w:eastAsia="宋体" w:hAnsi="Times New Roman" w:cs="Times New Roman"/>
      <w:b/>
      <w:bCs/>
      <w:sz w:val="32"/>
      <w:szCs w:val="32"/>
    </w:rPr>
  </w:style>
  <w:style w:type="character" w:customStyle="1" w:styleId="4Char">
    <w:name w:val="标题 4 Char"/>
    <w:basedOn w:val="a1"/>
    <w:link w:val="4"/>
    <w:rsid w:val="00A1073F"/>
    <w:rPr>
      <w:rFonts w:ascii="Arial" w:eastAsia="宋体" w:hAnsi="Arial" w:cs="Times New Roman"/>
      <w:b/>
      <w:kern w:val="24"/>
      <w:sz w:val="28"/>
      <w:szCs w:val="20"/>
    </w:rPr>
  </w:style>
  <w:style w:type="character" w:styleId="a7">
    <w:name w:val="page number"/>
    <w:basedOn w:val="a1"/>
    <w:rsid w:val="00A1073F"/>
  </w:style>
  <w:style w:type="paragraph" w:styleId="a8">
    <w:name w:val="Document Map"/>
    <w:basedOn w:val="a"/>
    <w:link w:val="Char2"/>
    <w:semiHidden/>
    <w:rsid w:val="00A1073F"/>
    <w:pPr>
      <w:shd w:val="clear" w:color="auto" w:fill="000080"/>
    </w:pPr>
  </w:style>
  <w:style w:type="character" w:customStyle="1" w:styleId="Char2">
    <w:name w:val="文档结构图 Char"/>
    <w:basedOn w:val="a1"/>
    <w:link w:val="a8"/>
    <w:semiHidden/>
    <w:rsid w:val="00A1073F"/>
    <w:rPr>
      <w:rFonts w:ascii="Times New Roman" w:eastAsia="宋体" w:hAnsi="Times New Roman" w:cs="Times New Roman"/>
      <w:szCs w:val="24"/>
      <w:shd w:val="clear" w:color="auto" w:fill="000080"/>
    </w:rPr>
  </w:style>
  <w:style w:type="paragraph" w:styleId="a9">
    <w:name w:val="Date"/>
    <w:basedOn w:val="a"/>
    <w:next w:val="a"/>
    <w:link w:val="Char3"/>
    <w:rsid w:val="00A1073F"/>
    <w:pPr>
      <w:ind w:leftChars="2500" w:left="100"/>
    </w:pPr>
    <w:rPr>
      <w:sz w:val="32"/>
    </w:rPr>
  </w:style>
  <w:style w:type="character" w:customStyle="1" w:styleId="Char3">
    <w:name w:val="日期 Char"/>
    <w:basedOn w:val="a1"/>
    <w:link w:val="a9"/>
    <w:rsid w:val="00A1073F"/>
    <w:rPr>
      <w:rFonts w:ascii="Times New Roman" w:eastAsia="宋体" w:hAnsi="Times New Roman" w:cs="Times New Roman"/>
      <w:sz w:val="32"/>
      <w:szCs w:val="24"/>
    </w:rPr>
  </w:style>
  <w:style w:type="paragraph" w:styleId="2">
    <w:name w:val="Body Text Indent 2"/>
    <w:basedOn w:val="a"/>
    <w:link w:val="2Char"/>
    <w:rsid w:val="00A1073F"/>
    <w:pPr>
      <w:tabs>
        <w:tab w:val="left" w:pos="2250"/>
      </w:tabs>
      <w:spacing w:before="100" w:beforeAutospacing="1" w:line="400" w:lineRule="exact"/>
      <w:ind w:firstLine="629"/>
    </w:pPr>
    <w:rPr>
      <w:sz w:val="32"/>
    </w:rPr>
  </w:style>
  <w:style w:type="character" w:customStyle="1" w:styleId="2Char">
    <w:name w:val="正文文本缩进 2 Char"/>
    <w:basedOn w:val="a1"/>
    <w:link w:val="2"/>
    <w:rsid w:val="00A1073F"/>
    <w:rPr>
      <w:rFonts w:ascii="Times New Roman" w:eastAsia="宋体" w:hAnsi="Times New Roman" w:cs="Times New Roman"/>
      <w:sz w:val="32"/>
      <w:szCs w:val="24"/>
    </w:rPr>
  </w:style>
  <w:style w:type="paragraph" w:customStyle="1" w:styleId="Char4">
    <w:name w:val=" Char"/>
    <w:basedOn w:val="a"/>
    <w:rsid w:val="00A1073F"/>
    <w:rPr>
      <w:rFonts w:ascii="宋体" w:hAnsi="宋体" w:cs="Courier New"/>
      <w:sz w:val="32"/>
      <w:szCs w:val="32"/>
    </w:rPr>
  </w:style>
  <w:style w:type="paragraph" w:styleId="a0">
    <w:name w:val="Normal Indent"/>
    <w:basedOn w:val="a"/>
    <w:rsid w:val="00A1073F"/>
    <w:pPr>
      <w:ind w:firstLineChars="200" w:firstLine="420"/>
    </w:pPr>
  </w:style>
  <w:style w:type="paragraph" w:customStyle="1" w:styleId="40">
    <w:name w:val="样式4"/>
    <w:basedOn w:val="a"/>
    <w:rsid w:val="00A1073F"/>
    <w:pPr>
      <w:numPr>
        <w:numId w:val="2"/>
      </w:numPr>
      <w:tabs>
        <w:tab w:val="left" w:pos="905"/>
      </w:tabs>
      <w:spacing w:beforeLines="50" w:afterLines="50" w:line="360" w:lineRule="auto"/>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2635</Words>
  <Characters>15026</Characters>
  <Application>Microsoft Office Word</Application>
  <DocSecurity>0</DocSecurity>
  <Lines>125</Lines>
  <Paragraphs>35</Paragraphs>
  <ScaleCrop>false</ScaleCrop>
  <Company/>
  <LinksUpToDate>false</LinksUpToDate>
  <CharactersWithSpaces>17626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wuxs</dc:creator>
  <cp:keywords/>
  <dc:description/>
  <cp:lastModifiedBy>wuxs</cp:lastModifiedBy>
  <cp:revision>3</cp:revision>
  <dcterms:created xsi:type="dcterms:W3CDTF">2016-11-29T05:50:00Z</dcterms:created>
  <dcterms:modified xsi:type="dcterms:W3CDTF">2017-03-22T06:03:00Z</dcterms:modified>
</cp:coreProperties>
</file>